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7D1758">
      <w:pPr>
        <w:keepNext w:val="0"/>
        <w:keepLines w:val="0"/>
        <w:pageBreakBefore w:val="0"/>
        <w:widowControl w:val="0"/>
        <w:kinsoku/>
        <w:wordWrap/>
        <w:overflowPunct/>
        <w:topLinePunct w:val="0"/>
        <w:autoSpaceDE/>
        <w:autoSpaceDN/>
        <w:bidi w:val="0"/>
        <w:adjustRightInd/>
        <w:snapToGrid/>
        <w:spacing w:line="574" w:lineRule="exact"/>
        <w:ind w:right="0" w:rightChars="0"/>
        <w:jc w:val="center"/>
        <w:textAlignment w:val="auto"/>
        <w:outlineLvl w:val="9"/>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lang w:eastAsia="zh-CN"/>
        </w:rPr>
        <w:t>中山市光荣院物业管理服务项目</w:t>
      </w:r>
    </w:p>
    <w:p w14:paraId="2106803A">
      <w:pPr>
        <w:keepNext w:val="0"/>
        <w:keepLines w:val="0"/>
        <w:pageBreakBefore w:val="0"/>
        <w:widowControl w:val="0"/>
        <w:kinsoku/>
        <w:wordWrap/>
        <w:overflowPunct/>
        <w:topLinePunct w:val="0"/>
        <w:autoSpaceDE/>
        <w:autoSpaceDN/>
        <w:bidi w:val="0"/>
        <w:adjustRightInd/>
        <w:snapToGrid/>
        <w:spacing w:line="574" w:lineRule="exact"/>
        <w:ind w:right="0" w:rightChars="0"/>
        <w:jc w:val="center"/>
        <w:textAlignment w:val="auto"/>
        <w:outlineLvl w:val="9"/>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eastAsia="zh-CN"/>
        </w:rPr>
        <w:t>用户需求书</w:t>
      </w:r>
    </w:p>
    <w:p w14:paraId="6C3E936C">
      <w:pPr>
        <w:keepNext w:val="0"/>
        <w:keepLines w:val="0"/>
        <w:pageBreakBefore w:val="0"/>
        <w:widowControl w:val="0"/>
        <w:kinsoku/>
        <w:wordWrap/>
        <w:overflowPunct/>
        <w:topLinePunct w:val="0"/>
        <w:autoSpaceDE/>
        <w:autoSpaceDN/>
        <w:bidi w:val="0"/>
        <w:adjustRightInd/>
        <w:snapToGrid/>
        <w:spacing w:line="574" w:lineRule="exact"/>
        <w:ind w:right="0" w:rightChars="0" w:firstLine="560" w:firstLineChars="200"/>
        <w:jc w:val="left"/>
        <w:textAlignment w:val="auto"/>
        <w:outlineLvl w:val="9"/>
        <w:rPr>
          <w:rFonts w:hint="eastAsia" w:ascii="宋体" w:hAnsi="宋体" w:eastAsia="宋体" w:cs="宋体"/>
          <w:color w:val="auto"/>
          <w:sz w:val="28"/>
          <w:szCs w:val="28"/>
          <w:lang w:eastAsia="zh-CN"/>
        </w:rPr>
      </w:pPr>
    </w:p>
    <w:p w14:paraId="54260ED8">
      <w:pPr>
        <w:keepNext w:val="0"/>
        <w:keepLines w:val="0"/>
        <w:pageBreakBefore w:val="0"/>
        <w:widowControl w:val="0"/>
        <w:numPr>
          <w:ilvl w:val="0"/>
          <w:numId w:val="1"/>
        </w:numPr>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项目概述</w:t>
      </w:r>
    </w:p>
    <w:p w14:paraId="7DA316F6">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项目名称：</w:t>
      </w:r>
      <w:r>
        <w:rPr>
          <w:rFonts w:hint="eastAsia" w:ascii="仿宋_GB2312" w:hAnsi="仿宋_GB2312" w:eastAsia="仿宋_GB2312" w:cs="仿宋_GB2312"/>
          <w:color w:val="auto"/>
          <w:sz w:val="32"/>
          <w:szCs w:val="32"/>
          <w:lang w:eastAsia="zh-CN"/>
        </w:rPr>
        <w:t>中山市光荣院物业管理服务采购项目</w:t>
      </w:r>
    </w:p>
    <w:p w14:paraId="4F64C8A8">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项目地点：中山市南朗街道翠亨村光荣路1号</w:t>
      </w:r>
    </w:p>
    <w:p w14:paraId="76F23DA2">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项目规模：</w:t>
      </w:r>
    </w:p>
    <w:p w14:paraId="0305F889">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中山市光荣院（</w:t>
      </w:r>
      <w:r>
        <w:rPr>
          <w:rFonts w:hint="eastAsia" w:ascii="仿宋_GB2312" w:hAnsi="仿宋_GB2312" w:eastAsia="仿宋_GB2312" w:cs="仿宋_GB2312"/>
          <w:color w:val="auto"/>
          <w:sz w:val="32"/>
          <w:szCs w:val="32"/>
          <w:lang w:val="en-US" w:eastAsia="zh-CN"/>
        </w:rPr>
        <w:t>中山革命烈士陵园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占地面积约2</w:t>
      </w:r>
      <w:r>
        <w:rPr>
          <w:rFonts w:hint="eastAsia" w:ascii="仿宋_GB2312" w:hAnsi="仿宋_GB2312" w:eastAsia="仿宋_GB2312" w:cs="仿宋_GB2312"/>
          <w:color w:val="auto"/>
          <w:sz w:val="32"/>
          <w:szCs w:val="32"/>
          <w:lang w:val="en-US" w:eastAsia="zh-CN"/>
        </w:rPr>
        <w:t>03</w:t>
      </w:r>
      <w:r>
        <w:rPr>
          <w:rFonts w:hint="eastAsia" w:ascii="仿宋_GB2312" w:hAnsi="仿宋_GB2312" w:eastAsia="仿宋_GB2312" w:cs="仿宋_GB2312"/>
          <w:color w:val="auto"/>
          <w:sz w:val="32"/>
          <w:szCs w:val="32"/>
        </w:rPr>
        <w:t>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中山市光荣院集中安置供养我市的孤老烈属和孤老复员军人工作，</w:t>
      </w:r>
      <w:r>
        <w:rPr>
          <w:rFonts w:hint="eastAsia" w:ascii="仿宋_GB2312" w:hAnsi="仿宋_GB2312" w:eastAsia="仿宋_GB2312" w:cs="仿宋_GB2312"/>
          <w:color w:val="auto"/>
          <w:sz w:val="32"/>
          <w:szCs w:val="32"/>
          <w:lang w:eastAsia="zh-CN"/>
        </w:rPr>
        <w:t>现供养</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名老人</w:t>
      </w:r>
      <w:r>
        <w:rPr>
          <w:rFonts w:hint="eastAsia" w:ascii="仿宋_GB2312" w:hAnsi="仿宋_GB2312" w:eastAsia="仿宋_GB2312" w:cs="仿宋_GB2312"/>
          <w:color w:val="auto"/>
          <w:sz w:val="32"/>
          <w:szCs w:val="32"/>
        </w:rPr>
        <w:t>；中山革命烈士陵园是以“褒扬先烈、激励后人”为宗旨，发挥烈士陵园爱国主义教育基地作用，宣传革命事迹，负责对革命史迹文物的收集、保管、陈列、宣传等管理工作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是</w:t>
      </w:r>
      <w:r>
        <w:rPr>
          <w:rFonts w:hint="eastAsia" w:ascii="仿宋_GB2312" w:hAnsi="仿宋_GB2312" w:eastAsia="仿宋_GB2312" w:cs="仿宋_GB2312"/>
          <w:color w:val="auto"/>
          <w:sz w:val="32"/>
          <w:szCs w:val="32"/>
          <w:lang w:val="en-US" w:eastAsia="zh-CN"/>
        </w:rPr>
        <w:t>国家级烈士纪念设施</w:t>
      </w:r>
      <w:r>
        <w:rPr>
          <w:rFonts w:hint="eastAsia" w:ascii="仿宋_GB2312" w:hAnsi="仿宋_GB2312" w:eastAsia="仿宋_GB2312" w:cs="仿宋_GB2312"/>
          <w:color w:val="auto"/>
          <w:sz w:val="32"/>
          <w:szCs w:val="32"/>
        </w:rPr>
        <w:t>,全国第二批100家爱国主义教育基地，中山党史教育基地。中山革命烈士陵园建筑物主要有门楼、牌坊、革命烈士纪念碑、光荣亭、革命烈士墓和革命史迹陈列馆等组成，门口设有大型停车场</w:t>
      </w:r>
      <w:r>
        <w:rPr>
          <w:rFonts w:hint="eastAsia" w:ascii="仿宋_GB2312" w:hAnsi="仿宋_GB2312" w:eastAsia="仿宋_GB2312" w:cs="仿宋_GB2312"/>
          <w:color w:val="auto"/>
          <w:sz w:val="32"/>
          <w:szCs w:val="32"/>
          <w:lang w:eastAsia="zh-CN"/>
        </w:rPr>
        <w:t>。</w:t>
      </w:r>
    </w:p>
    <w:p w14:paraId="51217AF3">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采购单位：中山市光荣院</w:t>
      </w:r>
      <w:bookmarkStart w:id="0" w:name="_GoBack"/>
      <w:bookmarkEnd w:id="0"/>
    </w:p>
    <w:p w14:paraId="5AF22526">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caps w:val="0"/>
          <w:color w:val="auto"/>
          <w:spacing w:val="0"/>
          <w:sz w:val="32"/>
          <w:szCs w:val="32"/>
          <w:shd w:val="clear" w:fill="FFFFFF"/>
        </w:rPr>
        <w:t>投标要求：投标人必须是广东政府采购智慧云平台物业管理服务定点供应商</w:t>
      </w:r>
    </w:p>
    <w:p w14:paraId="6DC19AB0">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项目预算：</w:t>
      </w:r>
      <w:r>
        <w:rPr>
          <w:rFonts w:hint="eastAsia" w:ascii="仿宋_GB2312" w:hAnsi="仿宋_GB2312" w:eastAsia="仿宋_GB2312" w:cs="仿宋_GB2312"/>
          <w:color w:val="auto"/>
          <w:sz w:val="32"/>
          <w:szCs w:val="32"/>
          <w:lang w:val="en-US" w:eastAsia="zh-CN"/>
        </w:rPr>
        <w:t>64.35万元</w:t>
      </w:r>
    </w:p>
    <w:p w14:paraId="2694C97F">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服务时间：2025年4月1日—2026年3月31日</w:t>
      </w:r>
    </w:p>
    <w:p w14:paraId="4E588670">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二、服务</w:t>
      </w:r>
      <w:r>
        <w:rPr>
          <w:rFonts w:hint="eastAsia" w:ascii="黑体" w:hAnsi="黑体" w:eastAsia="黑体" w:cs="黑体"/>
          <w:b w:val="0"/>
          <w:bCs w:val="0"/>
          <w:color w:val="auto"/>
          <w:sz w:val="32"/>
          <w:szCs w:val="32"/>
        </w:rPr>
        <w:t>范围</w:t>
      </w:r>
      <w:r>
        <w:rPr>
          <w:rFonts w:hint="eastAsia" w:ascii="黑体" w:hAnsi="黑体" w:eastAsia="黑体" w:cs="黑体"/>
          <w:b w:val="0"/>
          <w:bCs w:val="0"/>
          <w:color w:val="auto"/>
          <w:sz w:val="32"/>
          <w:szCs w:val="32"/>
          <w:lang w:eastAsia="zh-CN"/>
        </w:rPr>
        <w:t>和</w:t>
      </w:r>
      <w:r>
        <w:rPr>
          <w:rFonts w:hint="eastAsia" w:ascii="黑体" w:hAnsi="黑体" w:eastAsia="黑体" w:cs="黑体"/>
          <w:b w:val="0"/>
          <w:bCs w:val="0"/>
          <w:color w:val="auto"/>
          <w:sz w:val="32"/>
          <w:szCs w:val="32"/>
        </w:rPr>
        <w:t>内容</w:t>
      </w:r>
    </w:p>
    <w:p w14:paraId="35732C6D">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val="0"/>
          <w:bCs/>
          <w:color w:val="auto"/>
          <w:sz w:val="32"/>
          <w:szCs w:val="32"/>
          <w:lang w:eastAsia="zh-CN"/>
        </w:rPr>
        <w:t>（</w:t>
      </w:r>
      <w:r>
        <w:rPr>
          <w:rFonts w:hint="eastAsia" w:ascii="楷体_GB2312" w:hAnsi="楷体_GB2312" w:eastAsia="楷体_GB2312" w:cs="楷体_GB2312"/>
          <w:b w:val="0"/>
          <w:bCs/>
          <w:color w:val="auto"/>
          <w:sz w:val="32"/>
          <w:szCs w:val="32"/>
          <w:lang w:val="en-US" w:eastAsia="zh-CN"/>
        </w:rPr>
        <w:t>一</w:t>
      </w:r>
      <w:r>
        <w:rPr>
          <w:rFonts w:hint="eastAsia" w:ascii="楷体_GB2312" w:hAnsi="楷体_GB2312" w:eastAsia="楷体_GB2312" w:cs="楷体_GB2312"/>
          <w:b w:val="0"/>
          <w:bCs/>
          <w:color w:val="auto"/>
          <w:sz w:val="32"/>
          <w:szCs w:val="32"/>
          <w:lang w:eastAsia="zh-CN"/>
        </w:rPr>
        <w:t>）项目</w:t>
      </w:r>
      <w:r>
        <w:rPr>
          <w:rFonts w:hint="eastAsia" w:ascii="楷体_GB2312" w:hAnsi="楷体_GB2312" w:eastAsia="楷体_GB2312" w:cs="楷体_GB2312"/>
          <w:b w:val="0"/>
          <w:bCs/>
          <w:color w:val="auto"/>
          <w:sz w:val="32"/>
          <w:szCs w:val="32"/>
          <w:lang w:val="en-US" w:eastAsia="zh-CN"/>
        </w:rPr>
        <w:t>统筹服务</w:t>
      </w:r>
    </w:p>
    <w:p w14:paraId="0DA1B61D">
      <w:pPr>
        <w:keepNext w:val="0"/>
        <w:keepLines w:val="0"/>
        <w:pageBreakBefore w:val="0"/>
        <w:widowControl w:val="0"/>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楷体_GB2312" w:hAnsi="楷体_GB2312" w:eastAsia="楷体_GB2312" w:cs="楷体_GB2312"/>
          <w:b w:val="0"/>
          <w:bCs/>
          <w:color w:val="auto"/>
          <w:sz w:val="32"/>
          <w:szCs w:val="32"/>
          <w:lang w:eastAsia="zh-CN"/>
        </w:rPr>
      </w:pPr>
      <w:r>
        <w:rPr>
          <w:rFonts w:hint="eastAsia" w:ascii="仿宋_GB2312" w:hAnsi="仿宋_GB2312" w:eastAsia="仿宋_GB2312" w:cs="仿宋_GB2312"/>
          <w:i w:val="0"/>
          <w:caps w:val="0"/>
          <w:color w:val="auto"/>
          <w:spacing w:val="0"/>
          <w:sz w:val="32"/>
          <w:szCs w:val="32"/>
          <w:shd w:val="clear" w:fill="FFFFFF"/>
        </w:rPr>
        <w:t>全面统筹协调项目日常管理事务，兼顾协助</w:t>
      </w:r>
      <w:r>
        <w:rPr>
          <w:rFonts w:hint="eastAsia" w:ascii="仿宋_GB2312" w:hAnsi="仿宋_GB2312" w:eastAsia="仿宋_GB2312" w:cs="仿宋_GB2312"/>
          <w:i w:val="0"/>
          <w:caps w:val="0"/>
          <w:color w:val="auto"/>
          <w:spacing w:val="0"/>
          <w:sz w:val="32"/>
          <w:szCs w:val="32"/>
          <w:shd w:val="clear" w:fill="FFFFFF"/>
          <w:lang w:eastAsia="zh-CN"/>
        </w:rPr>
        <w:t>光荣院</w:t>
      </w:r>
      <w:r>
        <w:rPr>
          <w:rFonts w:hint="eastAsia" w:ascii="仿宋_GB2312" w:hAnsi="仿宋_GB2312" w:eastAsia="仿宋_GB2312" w:cs="仿宋_GB2312"/>
          <w:i w:val="0"/>
          <w:caps w:val="0"/>
          <w:color w:val="auto"/>
          <w:spacing w:val="0"/>
          <w:sz w:val="32"/>
          <w:szCs w:val="32"/>
          <w:shd w:val="clear" w:fill="FFFFFF"/>
        </w:rPr>
        <w:t>从事后勤、整理资料等工作。</w:t>
      </w:r>
      <w:r>
        <w:rPr>
          <w:rFonts w:hint="eastAsia" w:ascii="仿宋_GB2312" w:hAnsi="仿宋_GB2312" w:eastAsia="仿宋_GB2312" w:cs="仿宋_GB2312"/>
          <w:color w:val="auto"/>
          <w:sz w:val="32"/>
          <w:szCs w:val="32"/>
          <w:lang w:eastAsia="zh-CN"/>
        </w:rPr>
        <w:t>并对</w:t>
      </w:r>
      <w:r>
        <w:rPr>
          <w:rFonts w:hint="eastAsia" w:ascii="仿宋_GB2312" w:hAnsi="仿宋_GB2312" w:eastAsia="仿宋_GB2312" w:cs="仿宋_GB2312"/>
          <w:color w:val="auto"/>
          <w:sz w:val="32"/>
          <w:szCs w:val="32"/>
        </w:rPr>
        <w:t>管理保安、保洁、绿化人员的出勤、休假等事项，接受</w:t>
      </w:r>
      <w:r>
        <w:rPr>
          <w:rFonts w:hint="eastAsia" w:ascii="仿宋_GB2312" w:hAnsi="仿宋_GB2312" w:eastAsia="仿宋_GB2312" w:cs="仿宋_GB2312"/>
          <w:color w:val="auto"/>
          <w:sz w:val="32"/>
          <w:szCs w:val="32"/>
          <w:lang w:eastAsia="zh-CN"/>
        </w:rPr>
        <w:t>院内</w:t>
      </w:r>
      <w:r>
        <w:rPr>
          <w:rFonts w:hint="eastAsia" w:ascii="仿宋_GB2312" w:hAnsi="仿宋_GB2312" w:eastAsia="仿宋_GB2312" w:cs="仿宋_GB2312"/>
          <w:color w:val="auto"/>
          <w:sz w:val="32"/>
          <w:szCs w:val="32"/>
        </w:rPr>
        <w:t>和公司的指令，安排现场物业工作的开展，以及监督、检查工作完成情况，及时向</w:t>
      </w:r>
      <w:r>
        <w:rPr>
          <w:rFonts w:hint="eastAsia" w:ascii="仿宋_GB2312" w:hAnsi="仿宋_GB2312" w:eastAsia="仿宋_GB2312" w:cs="仿宋_GB2312"/>
          <w:color w:val="auto"/>
          <w:sz w:val="32"/>
          <w:szCs w:val="32"/>
          <w:lang w:eastAsia="zh-CN"/>
        </w:rPr>
        <w:t>院内</w:t>
      </w:r>
      <w:r>
        <w:rPr>
          <w:rFonts w:hint="eastAsia" w:ascii="仿宋_GB2312" w:hAnsi="仿宋_GB2312" w:eastAsia="仿宋_GB2312" w:cs="仿宋_GB2312"/>
          <w:color w:val="auto"/>
          <w:sz w:val="32"/>
          <w:szCs w:val="32"/>
        </w:rPr>
        <w:t>和公司进行工作反馈。</w:t>
      </w:r>
    </w:p>
    <w:p w14:paraId="2902CF20">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lang w:eastAsia="zh-CN"/>
        </w:rPr>
        <w:t>（二）</w:t>
      </w:r>
      <w:r>
        <w:rPr>
          <w:rFonts w:hint="eastAsia" w:ascii="楷体_GB2312" w:hAnsi="楷体_GB2312" w:eastAsia="楷体_GB2312" w:cs="楷体_GB2312"/>
          <w:b w:val="0"/>
          <w:bCs/>
          <w:color w:val="auto"/>
          <w:sz w:val="32"/>
          <w:szCs w:val="32"/>
        </w:rPr>
        <w:t>保安服务</w:t>
      </w:r>
    </w:p>
    <w:p w14:paraId="7330F5A6">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保安服务的主要内容为：</w:t>
      </w:r>
    </w:p>
    <w:p w14:paraId="0F11124A">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办公区域及老人宿舍区域、烈士陵园区域、革命史迹陈列馆区域治安秩序的维持；来访人员和车辆的指引，及停车场的管理；重要设备和设施的防盗和安全保护；消防安全控制和消防设施设备的维护管理。</w:t>
      </w:r>
    </w:p>
    <w:p w14:paraId="75AB6823">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2、2个</w:t>
      </w:r>
      <w:r>
        <w:rPr>
          <w:rFonts w:hint="eastAsia" w:ascii="仿宋_GB2312" w:hAnsi="仿宋_GB2312" w:eastAsia="仿宋_GB2312" w:cs="仿宋_GB2312"/>
          <w:color w:val="auto"/>
          <w:sz w:val="32"/>
          <w:szCs w:val="32"/>
          <w:lang w:eastAsia="zh-CN"/>
        </w:rPr>
        <w:t>大门出入口24小时值班，24小时监控。配备安全保卫人员流动巡查；保安交接班做好交接记录；对进出车辆实行有效管理，保持交通有序、畅通；大型物件进出有记录；对一般外来访问、办事人员，建立询问登记制度并负责传呼。确保安保工作顺利开展。</w:t>
      </w:r>
    </w:p>
    <w:p w14:paraId="7386D76E">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制定保卫巡逻方案，对重点部位增加巡逻频次，指定巡逻路线，巡逻定点记录，发现紧急问题时，立即报告求助，援助人员要求5分钟内到达现场。</w:t>
      </w:r>
    </w:p>
    <w:p w14:paraId="0CE1F9A2">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有火、水、警应急预案，每年组织不少于一次的演练。</w:t>
      </w:r>
    </w:p>
    <w:p w14:paraId="7F0D43C8">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实行三级防火安全检查制度，即项目点月检,巡检人员周检,保安巡逻员日检的三级防火安全检查制度。巡检人员必须坚守岗位,做好检查记录，确保消防设施设备的正常运行。</w:t>
      </w:r>
    </w:p>
    <w:p w14:paraId="4F1EAB72">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突发事件具备成熟的应急处理计划和措施，必要时及时报警并报告业主方，防止事态进一步恶化，协助保护现场。</w:t>
      </w:r>
    </w:p>
    <w:p w14:paraId="4FFA9E8B">
      <w:pPr>
        <w:keepNext w:val="0"/>
        <w:keepLines w:val="0"/>
        <w:pageBreakBefore w:val="0"/>
        <w:widowControl w:val="0"/>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lang w:val="en-US" w:eastAsia="zh-CN"/>
        </w:rPr>
        <w:t>（三）</w:t>
      </w:r>
      <w:r>
        <w:rPr>
          <w:rFonts w:hint="eastAsia" w:ascii="楷体_GB2312" w:hAnsi="楷体_GB2312" w:eastAsia="楷体_GB2312" w:cs="楷体_GB2312"/>
          <w:b w:val="0"/>
          <w:bCs/>
          <w:color w:val="auto"/>
          <w:sz w:val="32"/>
          <w:szCs w:val="32"/>
        </w:rPr>
        <w:t>保洁服务</w:t>
      </w:r>
    </w:p>
    <w:p w14:paraId="08EA2ED6">
      <w:pPr>
        <w:keepNext w:val="0"/>
        <w:keepLines w:val="0"/>
        <w:pageBreakBefore w:val="0"/>
        <w:widowControl w:val="0"/>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办公</w:t>
      </w:r>
      <w:r>
        <w:rPr>
          <w:rFonts w:hint="eastAsia" w:ascii="仿宋_GB2312" w:hAnsi="仿宋_GB2312" w:eastAsia="仿宋_GB2312" w:cs="仿宋_GB2312"/>
          <w:color w:val="auto"/>
          <w:sz w:val="32"/>
          <w:szCs w:val="32"/>
          <w:lang w:eastAsia="zh-CN"/>
        </w:rPr>
        <w:t>场所</w:t>
      </w:r>
      <w:r>
        <w:rPr>
          <w:rFonts w:hint="eastAsia" w:ascii="仿宋_GB2312" w:hAnsi="仿宋_GB2312" w:eastAsia="仿宋_GB2312" w:cs="仿宋_GB2312"/>
          <w:color w:val="auto"/>
          <w:sz w:val="32"/>
          <w:szCs w:val="32"/>
        </w:rPr>
        <w:t>的卫生清洁</w:t>
      </w:r>
    </w:p>
    <w:p w14:paraId="05FE7BD5">
      <w:pPr>
        <w:keepNext w:val="0"/>
        <w:keepLines w:val="0"/>
        <w:pageBreakBefore w:val="0"/>
        <w:widowControl w:val="0"/>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日常清洁内容：地面清扫、拖擦、办公室桌子和座位抹擦，门窗玻璃擦拭</w:t>
      </w:r>
      <w:r>
        <w:rPr>
          <w:rFonts w:hint="eastAsia" w:ascii="仿宋_GB2312" w:hAnsi="仿宋_GB2312" w:eastAsia="仿宋_GB2312" w:cs="仿宋_GB2312"/>
          <w:color w:val="auto"/>
          <w:sz w:val="32"/>
          <w:szCs w:val="32"/>
          <w:lang w:eastAsia="zh-CN"/>
        </w:rPr>
        <w:t>以及卫生间的清洁工作，</w:t>
      </w:r>
      <w:r>
        <w:rPr>
          <w:rFonts w:hint="eastAsia" w:ascii="仿宋_GB2312" w:hAnsi="仿宋_GB2312" w:eastAsia="仿宋_GB2312" w:cs="仿宋_GB2312"/>
          <w:color w:val="auto"/>
          <w:sz w:val="32"/>
          <w:szCs w:val="32"/>
        </w:rPr>
        <w:t>办公时间全天保洁。</w:t>
      </w:r>
    </w:p>
    <w:p w14:paraId="14A9F5AF">
      <w:pPr>
        <w:keepNext w:val="0"/>
        <w:keepLines w:val="0"/>
        <w:pageBreakBefore w:val="0"/>
        <w:widowControl w:val="0"/>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老人</w:t>
      </w:r>
      <w:r>
        <w:rPr>
          <w:rFonts w:hint="eastAsia" w:ascii="仿宋_GB2312" w:hAnsi="仿宋_GB2312" w:eastAsia="仿宋_GB2312" w:cs="仿宋_GB2312"/>
          <w:color w:val="auto"/>
          <w:sz w:val="32"/>
          <w:szCs w:val="32"/>
        </w:rPr>
        <w:t>宿舍区卫生清洁</w:t>
      </w:r>
    </w:p>
    <w:p w14:paraId="065E96DF">
      <w:pPr>
        <w:keepNext w:val="0"/>
        <w:keepLines w:val="0"/>
        <w:pageBreakBefore w:val="0"/>
        <w:widowControl w:val="0"/>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日常清洁内容：地面清扫，拖擦一次，家具抹尘，先用湿毛巾，再用干毛巾，抹擦两次，用品摆放整齐，床上用品定期清洗，晾晒，卫生间每日冲洗，确保无异味。</w:t>
      </w:r>
    </w:p>
    <w:p w14:paraId="797A13F5">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道路、广场</w:t>
      </w:r>
      <w:r>
        <w:rPr>
          <w:rFonts w:hint="eastAsia" w:ascii="仿宋_GB2312" w:hAnsi="仿宋_GB2312" w:eastAsia="仿宋_GB2312" w:cs="仿宋_GB2312"/>
          <w:color w:val="auto"/>
          <w:sz w:val="32"/>
          <w:szCs w:val="32"/>
          <w:lang w:eastAsia="zh-CN"/>
        </w:rPr>
        <w:t>范围内的清洁卫生</w:t>
      </w:r>
    </w:p>
    <w:p w14:paraId="6E08CCC4">
      <w:pPr>
        <w:keepNext w:val="0"/>
        <w:keepLines w:val="0"/>
        <w:pageBreakBefore w:val="0"/>
        <w:widowControl w:val="0"/>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园内所有道路及烈士陵园道路和广场地面，每天清扫一次。</w:t>
      </w:r>
    </w:p>
    <w:p w14:paraId="3A815AC6">
      <w:pPr>
        <w:keepNext w:val="0"/>
        <w:keepLines w:val="0"/>
        <w:pageBreakBefore w:val="0"/>
        <w:widowControl w:val="0"/>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公共卫生间的清洁卫生</w:t>
      </w:r>
    </w:p>
    <w:p w14:paraId="4562E678">
      <w:pPr>
        <w:keepNext w:val="0"/>
        <w:keepLines w:val="0"/>
        <w:pageBreakBefore w:val="0"/>
        <w:widowControl w:val="0"/>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男、女公共卫生间专人负责，每天上午及下午各拖扫一次，全天保洁</w:t>
      </w:r>
      <w:r>
        <w:rPr>
          <w:rFonts w:hint="eastAsia" w:ascii="仿宋_GB2312" w:hAnsi="仿宋_GB2312" w:eastAsia="仿宋_GB2312" w:cs="仿宋_GB2312"/>
          <w:color w:val="auto"/>
          <w:sz w:val="32"/>
          <w:szCs w:val="32"/>
          <w:lang w:eastAsia="zh-CN"/>
        </w:rPr>
        <w:t>。</w:t>
      </w:r>
    </w:p>
    <w:p w14:paraId="77EDEDD9">
      <w:pPr>
        <w:keepNext w:val="0"/>
        <w:keepLines w:val="0"/>
        <w:pageBreakBefore w:val="0"/>
        <w:widowControl w:val="0"/>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革命史迹陈列馆清洁卫生</w:t>
      </w:r>
    </w:p>
    <w:p w14:paraId="2F3F4ED1">
      <w:pPr>
        <w:keepNext w:val="0"/>
        <w:keepLines w:val="0"/>
        <w:pageBreakBefore w:val="0"/>
        <w:widowControl w:val="0"/>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日常清洁内容：地面清扫、拖擦、</w:t>
      </w:r>
      <w:r>
        <w:rPr>
          <w:rFonts w:hint="eastAsia" w:ascii="仿宋_GB2312" w:hAnsi="仿宋_GB2312" w:eastAsia="仿宋_GB2312" w:cs="仿宋_GB2312"/>
          <w:color w:val="auto"/>
          <w:sz w:val="32"/>
          <w:szCs w:val="32"/>
          <w:lang w:eastAsia="zh-CN"/>
        </w:rPr>
        <w:t>展柜、</w:t>
      </w:r>
      <w:r>
        <w:rPr>
          <w:rFonts w:hint="eastAsia" w:ascii="仿宋_GB2312" w:hAnsi="仿宋_GB2312" w:eastAsia="仿宋_GB2312" w:cs="仿宋_GB2312"/>
          <w:color w:val="auto"/>
          <w:sz w:val="32"/>
          <w:szCs w:val="32"/>
        </w:rPr>
        <w:t>桌子和座位抹擦，门窗玻璃擦拭，时间全天保洁。卫生间专人负责，每天上午及下午各拖扫一次，全天保洁</w:t>
      </w:r>
      <w:r>
        <w:rPr>
          <w:rFonts w:hint="eastAsia" w:ascii="仿宋_GB2312" w:hAnsi="仿宋_GB2312" w:eastAsia="仿宋_GB2312" w:cs="仿宋_GB2312"/>
          <w:color w:val="auto"/>
          <w:sz w:val="32"/>
          <w:szCs w:val="32"/>
          <w:lang w:eastAsia="zh-CN"/>
        </w:rPr>
        <w:t>。</w:t>
      </w:r>
    </w:p>
    <w:p w14:paraId="1646A6C2">
      <w:pPr>
        <w:keepNext w:val="0"/>
        <w:keepLines w:val="0"/>
        <w:pageBreakBefore w:val="0"/>
        <w:widowControl w:val="0"/>
        <w:numPr>
          <w:ilvl w:val="0"/>
          <w:numId w:val="2"/>
        </w:numPr>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停车场</w:t>
      </w:r>
    </w:p>
    <w:p w14:paraId="413BCF69">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停车场</w:t>
      </w:r>
      <w:r>
        <w:rPr>
          <w:rFonts w:hint="eastAsia" w:ascii="仿宋_GB2312" w:hAnsi="仿宋_GB2312" w:eastAsia="仿宋_GB2312" w:cs="仿宋_GB2312"/>
          <w:color w:val="auto"/>
          <w:sz w:val="32"/>
          <w:szCs w:val="32"/>
          <w:lang w:eastAsia="zh-CN"/>
        </w:rPr>
        <w:t>每天</w:t>
      </w:r>
      <w:r>
        <w:rPr>
          <w:rFonts w:hint="eastAsia" w:ascii="仿宋_GB2312" w:hAnsi="仿宋_GB2312" w:eastAsia="仿宋_GB2312" w:cs="仿宋_GB2312"/>
          <w:color w:val="auto"/>
          <w:sz w:val="32"/>
          <w:szCs w:val="32"/>
        </w:rPr>
        <w:t>清扫一次，保持干净整洁无污渍。</w:t>
      </w:r>
    </w:p>
    <w:p w14:paraId="175AAA90">
      <w:pPr>
        <w:keepNext w:val="0"/>
        <w:keepLines w:val="0"/>
        <w:pageBreakBefore w:val="0"/>
        <w:widowControl w:val="0"/>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除“四害”</w:t>
      </w:r>
      <w:r>
        <w:rPr>
          <w:rFonts w:hint="eastAsia" w:ascii="仿宋_GB2312" w:hAnsi="仿宋_GB2312" w:eastAsia="仿宋_GB2312" w:cs="仿宋_GB2312"/>
          <w:color w:val="auto"/>
          <w:sz w:val="32"/>
          <w:szCs w:val="32"/>
          <w:lang w:eastAsia="zh-CN"/>
        </w:rPr>
        <w:t>服务</w:t>
      </w:r>
    </w:p>
    <w:p w14:paraId="2F1B2E26">
      <w:pPr>
        <w:keepNext w:val="0"/>
        <w:keepLines w:val="0"/>
        <w:pageBreakBefore w:val="0"/>
        <w:widowControl w:val="0"/>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除四害标准，执行《广东省除“四害”管理规定》中的城镇“除四害”标准。定期开展除四害，项目点主要以办公楼区域、宿舍区域</w:t>
      </w:r>
      <w:r>
        <w:rPr>
          <w:rFonts w:hint="eastAsia" w:ascii="仿宋_GB2312" w:hAnsi="仿宋_GB2312" w:eastAsia="仿宋_GB2312" w:cs="仿宋_GB2312"/>
          <w:color w:val="auto"/>
          <w:sz w:val="32"/>
          <w:szCs w:val="32"/>
          <w:lang w:eastAsia="zh-CN"/>
        </w:rPr>
        <w:t>灭鼠、</w:t>
      </w:r>
      <w:r>
        <w:rPr>
          <w:rFonts w:hint="eastAsia" w:ascii="仿宋_GB2312" w:hAnsi="仿宋_GB2312" w:eastAsia="仿宋_GB2312" w:cs="仿宋_GB2312"/>
          <w:color w:val="auto"/>
          <w:sz w:val="32"/>
          <w:szCs w:val="32"/>
        </w:rPr>
        <w:t>灭蚊、</w:t>
      </w:r>
      <w:r>
        <w:rPr>
          <w:rFonts w:hint="eastAsia" w:ascii="仿宋_GB2312" w:hAnsi="仿宋_GB2312" w:eastAsia="仿宋_GB2312" w:cs="仿宋_GB2312"/>
          <w:color w:val="auto"/>
          <w:sz w:val="32"/>
          <w:szCs w:val="32"/>
          <w:lang w:eastAsia="zh-CN"/>
        </w:rPr>
        <w:t>灭蚁、</w:t>
      </w:r>
      <w:r>
        <w:rPr>
          <w:rFonts w:hint="eastAsia" w:ascii="仿宋_GB2312" w:hAnsi="仿宋_GB2312" w:eastAsia="仿宋_GB2312" w:cs="仿宋_GB2312"/>
          <w:color w:val="auto"/>
          <w:sz w:val="32"/>
          <w:szCs w:val="32"/>
        </w:rPr>
        <w:t>灭蟑为主。</w:t>
      </w:r>
      <w:r>
        <w:rPr>
          <w:rFonts w:hint="eastAsia" w:ascii="仿宋_GB2312" w:hAnsi="仿宋_GB2312" w:eastAsia="仿宋_GB2312" w:cs="仿宋_GB2312"/>
          <w:color w:val="auto"/>
          <w:sz w:val="32"/>
          <w:szCs w:val="32"/>
          <w:lang w:eastAsia="zh-CN"/>
        </w:rPr>
        <w:t>革命史迹陈列馆以灭鼠与灭蚁为主。</w:t>
      </w:r>
    </w:p>
    <w:p w14:paraId="3BB3B4DE">
      <w:pPr>
        <w:keepNext w:val="0"/>
        <w:keepLines w:val="0"/>
        <w:pageBreakBefore w:val="0"/>
        <w:widowControl w:val="0"/>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（四）供电线路及供水管网的维护服务工作</w:t>
      </w:r>
    </w:p>
    <w:p w14:paraId="43058934">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1、负责全院范围内的供水管线的维修、监护与保养。</w:t>
      </w:r>
    </w:p>
    <w:p w14:paraId="02CD5DB1">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2、负责全院供电线路的维修与保养发现故障及时解决。</w:t>
      </w:r>
    </w:p>
    <w:p w14:paraId="703276A5">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val="0"/>
          <w:bCs/>
          <w:color w:val="auto"/>
          <w:sz w:val="32"/>
          <w:szCs w:val="32"/>
          <w:lang w:eastAsia="zh-CN"/>
        </w:rPr>
        <w:t>（五）</w:t>
      </w:r>
      <w:r>
        <w:rPr>
          <w:rFonts w:hint="eastAsia" w:ascii="楷体_GB2312" w:hAnsi="楷体_GB2312" w:eastAsia="楷体_GB2312" w:cs="楷体_GB2312"/>
          <w:b w:val="0"/>
          <w:bCs/>
          <w:color w:val="auto"/>
          <w:sz w:val="32"/>
          <w:szCs w:val="32"/>
        </w:rPr>
        <w:t>绿化服务</w:t>
      </w:r>
    </w:p>
    <w:p w14:paraId="5AB5FAF8">
      <w:pPr>
        <w:keepNext w:val="0"/>
        <w:keepLines w:val="0"/>
        <w:pageBreakBefore w:val="0"/>
        <w:widowControl w:val="0"/>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山市光荣院及烈士陵园内，除建筑物和道路、广场，其余为大面积绿化地，草坪，灌木，乔木，果树园，品种丰富，数量大，为保持项目点优美舒适，生机勃勃的绿化环境，特设置绿化工作人员，对绿化进行专业细致的养护。</w:t>
      </w:r>
    </w:p>
    <w:p w14:paraId="363E6737">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绿化服务主要内容</w:t>
      </w:r>
      <w:r>
        <w:rPr>
          <w:rFonts w:hint="eastAsia" w:ascii="仿宋_GB2312" w:hAnsi="仿宋_GB2312" w:eastAsia="仿宋_GB2312" w:cs="仿宋_GB2312"/>
          <w:color w:val="auto"/>
          <w:sz w:val="32"/>
          <w:szCs w:val="32"/>
          <w:lang w:eastAsia="zh-CN"/>
        </w:rPr>
        <w:t>：</w:t>
      </w:r>
    </w:p>
    <w:p w14:paraId="27E16970">
      <w:pPr>
        <w:keepNext w:val="0"/>
        <w:keepLines w:val="0"/>
        <w:pageBreakBefore w:val="0"/>
        <w:widowControl w:val="0"/>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各种花草树木成活率达95%以上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绿化地无纸屑、垃圾等杂物；不被人恶意践踏、破坏、发现情况要及时制止，一旦损坏及时补种。</w:t>
      </w:r>
    </w:p>
    <w:p w14:paraId="415CEE59">
      <w:pPr>
        <w:keepNext w:val="0"/>
        <w:keepLines w:val="0"/>
        <w:pageBreakBefore w:val="0"/>
        <w:widowControl w:val="0"/>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适时剪草和除草、除虫、施肥，保持草地平整、美观。修剪后的绿化垃圾及时清理。</w:t>
      </w:r>
    </w:p>
    <w:p w14:paraId="7256DF76">
      <w:pPr>
        <w:keepNext w:val="0"/>
        <w:keepLines w:val="0"/>
        <w:pageBreakBefore w:val="0"/>
        <w:widowControl w:val="0"/>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定期剪枝、整形、除虫、施肥，保持树木生长量适当，满足园林功能要求及其生长特性，造型优美、景观丰富多彩。</w:t>
      </w:r>
    </w:p>
    <w:p w14:paraId="7C630649">
      <w:pPr>
        <w:keepNext w:val="0"/>
        <w:keepLines w:val="0"/>
        <w:pageBreakBefore w:val="0"/>
        <w:widowControl w:val="0"/>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适时对树木进行培土，树木涂白、防风害、防日照、防虫蚁等工作，对受损或倾倒花木及时修补，扶持和局部补苗。</w:t>
      </w:r>
    </w:p>
    <w:p w14:paraId="187C2334">
      <w:pPr>
        <w:keepNext w:val="0"/>
        <w:keepLines w:val="0"/>
        <w:pageBreakBefore w:val="0"/>
        <w:widowControl w:val="0"/>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做好</w:t>
      </w:r>
      <w:r>
        <w:rPr>
          <w:rFonts w:hint="eastAsia" w:ascii="仿宋_GB2312" w:hAnsi="仿宋_GB2312" w:eastAsia="仿宋_GB2312" w:cs="仿宋_GB2312"/>
          <w:color w:val="auto"/>
          <w:sz w:val="32"/>
          <w:szCs w:val="32"/>
        </w:rPr>
        <w:t>果园果树</w:t>
      </w:r>
      <w:r>
        <w:rPr>
          <w:rFonts w:hint="eastAsia" w:ascii="仿宋_GB2312" w:hAnsi="仿宋_GB2312" w:eastAsia="仿宋_GB2312" w:cs="仿宋_GB2312"/>
          <w:color w:val="auto"/>
          <w:sz w:val="32"/>
          <w:szCs w:val="32"/>
          <w:lang w:eastAsia="zh-CN"/>
        </w:rPr>
        <w:t>的日常管理工作，完成除草、施肥、剪枝、杀虫等工作。果实</w:t>
      </w:r>
      <w:r>
        <w:rPr>
          <w:rFonts w:hint="eastAsia" w:ascii="仿宋_GB2312" w:hAnsi="仿宋_GB2312" w:eastAsia="仿宋_GB2312" w:cs="仿宋_GB2312"/>
          <w:color w:val="auto"/>
          <w:sz w:val="32"/>
          <w:szCs w:val="32"/>
        </w:rPr>
        <w:t>成熟季节，对果实进行采摘，整理。</w:t>
      </w:r>
    </w:p>
    <w:p w14:paraId="12F6F671">
      <w:pPr>
        <w:keepNext w:val="0"/>
        <w:keepLines w:val="0"/>
        <w:pageBreakBefore w:val="0"/>
        <w:widowControl w:val="0"/>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每年定期对乔木，果园地里的落叶集中清理，焚烧。</w:t>
      </w:r>
    </w:p>
    <w:p w14:paraId="64371120">
      <w:pPr>
        <w:keepNext w:val="0"/>
        <w:keepLines w:val="0"/>
        <w:pageBreakBefore w:val="0"/>
        <w:widowControl w:val="0"/>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黑体" w:hAnsi="黑体" w:eastAsia="黑体" w:cs="黑体"/>
          <w:b w:val="0"/>
          <w:bCs w:val="0"/>
          <w:color w:val="auto"/>
          <w:kern w:val="0"/>
          <w:sz w:val="32"/>
          <w:szCs w:val="32"/>
          <w:lang w:eastAsia="zh-CN"/>
        </w:rPr>
      </w:pPr>
      <w:r>
        <w:rPr>
          <w:rFonts w:hint="eastAsia" w:ascii="黑体" w:hAnsi="黑体" w:eastAsia="黑体" w:cs="黑体"/>
          <w:b w:val="0"/>
          <w:bCs w:val="0"/>
          <w:color w:val="auto"/>
          <w:kern w:val="0"/>
          <w:sz w:val="32"/>
          <w:szCs w:val="32"/>
          <w:lang w:val="en-US" w:eastAsia="zh-CN"/>
        </w:rPr>
        <w:t>三、</w:t>
      </w:r>
      <w:r>
        <w:rPr>
          <w:rFonts w:hint="eastAsia" w:ascii="黑体" w:hAnsi="黑体" w:eastAsia="黑体" w:cs="黑体"/>
          <w:b w:val="0"/>
          <w:bCs w:val="0"/>
          <w:color w:val="auto"/>
          <w:kern w:val="0"/>
          <w:sz w:val="32"/>
          <w:szCs w:val="32"/>
          <w:lang w:eastAsia="zh-CN"/>
        </w:rPr>
        <w:t>其它要求</w:t>
      </w:r>
    </w:p>
    <w:p w14:paraId="2D785B35">
      <w:pPr>
        <w:keepNext w:val="0"/>
        <w:keepLines w:val="0"/>
        <w:pageBreakBefore w:val="0"/>
        <w:kinsoku/>
        <w:wordWrap/>
        <w:overflowPunct/>
        <w:topLinePunct w:val="0"/>
        <w:autoSpaceDE/>
        <w:autoSpaceDN/>
        <w:bidi w:val="0"/>
        <w:spacing w:line="574" w:lineRule="exact"/>
        <w:ind w:firstLine="640" w:firstLineChars="200"/>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一</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成交供应商须按国家、省、市有关规定向项目人员支付高于中山市最低工资标准的工资、险金、劳保福利及有关的工人津贴并签订劳动合同等，并购买意外保险。</w:t>
      </w:r>
      <w:r>
        <w:rPr>
          <w:rFonts w:hint="eastAsia" w:ascii="仿宋_GB2312" w:hAnsi="仿宋_GB2312" w:eastAsia="仿宋_GB2312" w:cs="仿宋_GB2312"/>
          <w:i w:val="0"/>
          <w:caps w:val="0"/>
          <w:color w:val="auto"/>
          <w:spacing w:val="0"/>
          <w:sz w:val="32"/>
          <w:szCs w:val="32"/>
          <w:shd w:val="clear" w:fill="FFFFFF"/>
          <w:lang w:eastAsia="zh-CN"/>
        </w:rPr>
        <w:t>成交供应商</w:t>
      </w:r>
      <w:r>
        <w:rPr>
          <w:rFonts w:hint="eastAsia" w:ascii="仿宋_GB2312" w:hAnsi="仿宋_GB2312" w:eastAsia="仿宋_GB2312" w:cs="仿宋_GB2312"/>
          <w:i w:val="0"/>
          <w:caps w:val="0"/>
          <w:color w:val="auto"/>
          <w:spacing w:val="0"/>
          <w:sz w:val="32"/>
          <w:szCs w:val="32"/>
          <w:shd w:val="clear" w:fill="FFFFFF"/>
        </w:rPr>
        <w:t>根据《劳动合同法》的相关要求，</w:t>
      </w:r>
      <w:r>
        <w:rPr>
          <w:rFonts w:hint="eastAsia" w:ascii="仿宋_GB2312" w:hAnsi="仿宋_GB2312" w:eastAsia="仿宋_GB2312" w:cs="仿宋_GB2312"/>
          <w:i w:val="0"/>
          <w:caps w:val="0"/>
          <w:color w:val="auto"/>
          <w:spacing w:val="0"/>
          <w:sz w:val="32"/>
          <w:szCs w:val="32"/>
          <w:shd w:val="clear" w:fill="FFFFFF"/>
          <w:lang w:eastAsia="zh-CN"/>
        </w:rPr>
        <w:t>为</w:t>
      </w:r>
      <w:r>
        <w:rPr>
          <w:rFonts w:hint="eastAsia" w:ascii="仿宋_GB2312" w:hAnsi="仿宋_GB2312" w:eastAsia="仿宋_GB2312" w:cs="仿宋_GB2312"/>
          <w:i w:val="0"/>
          <w:caps w:val="0"/>
          <w:color w:val="auto"/>
          <w:spacing w:val="0"/>
          <w:sz w:val="32"/>
          <w:szCs w:val="32"/>
          <w:shd w:val="clear" w:fill="FFFFFF"/>
          <w:lang w:val="en-US" w:eastAsia="zh-CN"/>
        </w:rPr>
        <w:t>安排</w:t>
      </w:r>
      <w:r>
        <w:rPr>
          <w:rFonts w:hint="eastAsia" w:ascii="仿宋_GB2312" w:hAnsi="仿宋_GB2312" w:eastAsia="仿宋_GB2312" w:cs="仿宋_GB2312"/>
          <w:i w:val="0"/>
          <w:caps w:val="0"/>
          <w:color w:val="auto"/>
          <w:spacing w:val="0"/>
          <w:sz w:val="32"/>
          <w:szCs w:val="32"/>
          <w:shd w:val="clear" w:fill="FFFFFF"/>
        </w:rPr>
        <w:t>的</w:t>
      </w:r>
      <w:r>
        <w:rPr>
          <w:rFonts w:hint="eastAsia" w:ascii="仿宋_GB2312" w:hAnsi="仿宋_GB2312" w:eastAsia="仿宋_GB2312" w:cs="仿宋_GB2312"/>
          <w:i w:val="0"/>
          <w:caps w:val="0"/>
          <w:color w:val="auto"/>
          <w:spacing w:val="0"/>
          <w:sz w:val="32"/>
          <w:szCs w:val="32"/>
          <w:shd w:val="clear" w:fill="FFFFFF"/>
          <w:lang w:val="en-US" w:eastAsia="zh-CN"/>
        </w:rPr>
        <w:t>服务</w:t>
      </w:r>
      <w:r>
        <w:rPr>
          <w:rFonts w:hint="eastAsia" w:ascii="仿宋_GB2312" w:hAnsi="仿宋_GB2312" w:eastAsia="仿宋_GB2312" w:cs="仿宋_GB2312"/>
          <w:i w:val="0"/>
          <w:caps w:val="0"/>
          <w:color w:val="auto"/>
          <w:spacing w:val="0"/>
          <w:sz w:val="32"/>
          <w:szCs w:val="32"/>
          <w:shd w:val="clear" w:fill="FFFFFF"/>
        </w:rPr>
        <w:t>人员与</w:t>
      </w:r>
      <w:r>
        <w:rPr>
          <w:rFonts w:hint="eastAsia" w:ascii="仿宋_GB2312" w:hAnsi="仿宋_GB2312" w:eastAsia="仿宋_GB2312" w:cs="仿宋_GB2312"/>
          <w:i w:val="0"/>
          <w:caps w:val="0"/>
          <w:color w:val="auto"/>
          <w:spacing w:val="0"/>
          <w:sz w:val="32"/>
          <w:szCs w:val="32"/>
          <w:shd w:val="clear" w:fill="FFFFFF"/>
          <w:lang w:val="en-US" w:eastAsia="zh-CN"/>
        </w:rPr>
        <w:t>采购人</w:t>
      </w:r>
      <w:r>
        <w:rPr>
          <w:rFonts w:hint="eastAsia" w:ascii="仿宋_GB2312" w:hAnsi="仿宋_GB2312" w:eastAsia="仿宋_GB2312" w:cs="仿宋_GB2312"/>
          <w:i w:val="0"/>
          <w:caps w:val="0"/>
          <w:color w:val="auto"/>
          <w:spacing w:val="0"/>
          <w:sz w:val="32"/>
          <w:szCs w:val="32"/>
          <w:shd w:val="clear" w:fill="FFFFFF"/>
        </w:rPr>
        <w:t>不存在劳动合同关系或是劳务关系</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服务人员的薪酬、补贴费用等一切费用均由</w:t>
      </w:r>
      <w:r>
        <w:rPr>
          <w:rFonts w:hint="eastAsia" w:ascii="仿宋_GB2312" w:hAnsi="仿宋_GB2312" w:eastAsia="仿宋_GB2312" w:cs="仿宋_GB2312"/>
          <w:i w:val="0"/>
          <w:caps w:val="0"/>
          <w:color w:val="auto"/>
          <w:spacing w:val="0"/>
          <w:sz w:val="32"/>
          <w:szCs w:val="32"/>
          <w:shd w:val="clear" w:fill="FFFFFF"/>
        </w:rPr>
        <w:t>成交供应商</w:t>
      </w:r>
      <w:r>
        <w:rPr>
          <w:rFonts w:hint="eastAsia" w:ascii="仿宋_GB2312" w:hAnsi="仿宋_GB2312" w:eastAsia="仿宋_GB2312" w:cs="仿宋_GB2312"/>
          <w:i w:val="0"/>
          <w:caps w:val="0"/>
          <w:color w:val="auto"/>
          <w:spacing w:val="0"/>
          <w:sz w:val="32"/>
          <w:szCs w:val="32"/>
          <w:shd w:val="clear" w:fill="FFFFFF"/>
          <w:lang w:val="en-US" w:eastAsia="zh-CN"/>
        </w:rPr>
        <w:t>负责并统一支出，</w:t>
      </w:r>
      <w:r>
        <w:rPr>
          <w:rFonts w:hint="eastAsia" w:ascii="仿宋_GB2312" w:hAnsi="仿宋_GB2312" w:eastAsia="仿宋_GB2312" w:cs="仿宋_GB2312"/>
          <w:i w:val="0"/>
          <w:caps w:val="0"/>
          <w:color w:val="auto"/>
          <w:spacing w:val="0"/>
          <w:sz w:val="32"/>
          <w:szCs w:val="32"/>
          <w:shd w:val="clear" w:fill="FFFFFF"/>
        </w:rPr>
        <w:t>成交供应商</w:t>
      </w:r>
      <w:r>
        <w:rPr>
          <w:rFonts w:hint="eastAsia" w:ascii="仿宋_GB2312" w:hAnsi="仿宋_GB2312" w:eastAsia="仿宋_GB2312" w:cs="仿宋_GB2312"/>
          <w:i w:val="0"/>
          <w:caps w:val="0"/>
          <w:color w:val="auto"/>
          <w:spacing w:val="0"/>
          <w:sz w:val="32"/>
          <w:szCs w:val="32"/>
          <w:shd w:val="clear" w:fill="FFFFFF"/>
          <w:lang w:val="en-US" w:eastAsia="zh-CN"/>
        </w:rPr>
        <w:t>与</w:t>
      </w:r>
      <w:r>
        <w:rPr>
          <w:rFonts w:hint="eastAsia" w:ascii="仿宋_GB2312" w:hAnsi="仿宋_GB2312" w:eastAsia="仿宋_GB2312" w:cs="仿宋_GB2312"/>
          <w:i w:val="0"/>
          <w:caps w:val="0"/>
          <w:color w:val="auto"/>
          <w:spacing w:val="0"/>
          <w:sz w:val="32"/>
          <w:szCs w:val="32"/>
          <w:shd w:val="clear" w:fill="FFFFFF"/>
        </w:rPr>
        <w:t>成交供应商</w:t>
      </w:r>
      <w:r>
        <w:rPr>
          <w:rFonts w:hint="eastAsia" w:ascii="仿宋_GB2312" w:hAnsi="仿宋_GB2312" w:eastAsia="仿宋_GB2312" w:cs="仿宋_GB2312"/>
          <w:i w:val="0"/>
          <w:caps w:val="0"/>
          <w:color w:val="auto"/>
          <w:spacing w:val="0"/>
          <w:sz w:val="32"/>
          <w:szCs w:val="32"/>
          <w:shd w:val="clear" w:fill="FFFFFF"/>
          <w:lang w:val="en-US" w:eastAsia="zh-CN"/>
        </w:rPr>
        <w:t>人员之间因签订劳动合同、劳动报酬、</w:t>
      </w:r>
      <w:r>
        <w:rPr>
          <w:rFonts w:hint="eastAsia" w:ascii="仿宋_GB2312" w:hAnsi="仿宋_GB2312" w:eastAsia="仿宋_GB2312" w:cs="仿宋_GB2312"/>
          <w:i w:val="0"/>
          <w:caps w:val="0"/>
          <w:color w:val="auto"/>
          <w:spacing w:val="0"/>
          <w:sz w:val="32"/>
          <w:szCs w:val="32"/>
          <w:shd w:val="clear" w:fill="FFFFFF"/>
        </w:rPr>
        <w:t>劳动保护、工作安全</w:t>
      </w:r>
      <w:r>
        <w:rPr>
          <w:rFonts w:hint="eastAsia" w:ascii="仿宋_GB2312" w:hAnsi="仿宋_GB2312" w:eastAsia="仿宋_GB2312" w:cs="仿宋_GB2312"/>
          <w:i w:val="0"/>
          <w:caps w:val="0"/>
          <w:color w:val="auto"/>
          <w:spacing w:val="0"/>
          <w:sz w:val="32"/>
          <w:szCs w:val="32"/>
          <w:shd w:val="clear" w:fill="FFFFFF"/>
          <w:lang w:val="en-US" w:eastAsia="zh-CN"/>
        </w:rPr>
        <w:t>、工伤、人身损害等产生的所有纠纷，</w:t>
      </w:r>
      <w:r>
        <w:rPr>
          <w:rFonts w:hint="eastAsia" w:ascii="仿宋_GB2312" w:hAnsi="仿宋_GB2312" w:eastAsia="仿宋_GB2312" w:cs="仿宋_GB2312"/>
          <w:i w:val="0"/>
          <w:caps w:val="0"/>
          <w:color w:val="auto"/>
          <w:spacing w:val="0"/>
          <w:sz w:val="32"/>
          <w:szCs w:val="32"/>
          <w:shd w:val="clear" w:fill="FFFFFF"/>
        </w:rPr>
        <w:t>或是成交供应商、成交供应商的工作人员致使第三人发生的人身损害或其他财产损失等</w:t>
      </w:r>
      <w:r>
        <w:rPr>
          <w:rFonts w:hint="eastAsia" w:ascii="仿宋_GB2312" w:hAnsi="仿宋_GB2312" w:eastAsia="仿宋_GB2312" w:cs="仿宋_GB2312"/>
          <w:i w:val="0"/>
          <w:caps w:val="0"/>
          <w:color w:val="auto"/>
          <w:spacing w:val="0"/>
          <w:sz w:val="32"/>
          <w:szCs w:val="32"/>
          <w:shd w:val="clear" w:fill="FFFFFF"/>
          <w:lang w:val="en-US" w:eastAsia="zh-CN"/>
        </w:rPr>
        <w:t>产生的所有纠纷</w:t>
      </w:r>
      <w:r>
        <w:rPr>
          <w:rFonts w:hint="eastAsia" w:ascii="仿宋_GB2312" w:hAnsi="仿宋_GB2312" w:eastAsia="仿宋_GB2312" w:cs="仿宋_GB2312"/>
          <w:i w:val="0"/>
          <w:caps w:val="0"/>
          <w:color w:val="auto"/>
          <w:spacing w:val="0"/>
          <w:sz w:val="32"/>
          <w:szCs w:val="32"/>
          <w:shd w:val="clear" w:fill="FFFFFF"/>
        </w:rPr>
        <w:t>，由此发生的法律责任和经济损失概由成交供应商自行承担，</w:t>
      </w:r>
      <w:r>
        <w:rPr>
          <w:rFonts w:hint="eastAsia" w:ascii="仿宋_GB2312" w:hAnsi="仿宋_GB2312" w:eastAsia="仿宋_GB2312" w:cs="仿宋_GB2312"/>
          <w:i w:val="0"/>
          <w:caps w:val="0"/>
          <w:color w:val="auto"/>
          <w:spacing w:val="0"/>
          <w:sz w:val="32"/>
          <w:szCs w:val="32"/>
          <w:shd w:val="clear" w:fill="FFFFFF"/>
          <w:lang w:val="en-US" w:eastAsia="zh-CN"/>
        </w:rPr>
        <w:t>由</w:t>
      </w:r>
      <w:r>
        <w:rPr>
          <w:rFonts w:hint="eastAsia" w:ascii="仿宋_GB2312" w:hAnsi="仿宋_GB2312" w:eastAsia="仿宋_GB2312" w:cs="仿宋_GB2312"/>
          <w:i w:val="0"/>
          <w:caps w:val="0"/>
          <w:color w:val="auto"/>
          <w:spacing w:val="0"/>
          <w:sz w:val="32"/>
          <w:szCs w:val="32"/>
          <w:shd w:val="clear" w:fill="FFFFFF"/>
        </w:rPr>
        <w:t>成交供应商</w:t>
      </w:r>
      <w:r>
        <w:rPr>
          <w:rFonts w:hint="eastAsia" w:ascii="仿宋_GB2312" w:hAnsi="仿宋_GB2312" w:eastAsia="仿宋_GB2312" w:cs="仿宋_GB2312"/>
          <w:i w:val="0"/>
          <w:caps w:val="0"/>
          <w:color w:val="auto"/>
          <w:spacing w:val="0"/>
          <w:sz w:val="32"/>
          <w:szCs w:val="32"/>
          <w:shd w:val="clear" w:fill="FFFFFF"/>
          <w:lang w:val="en-US" w:eastAsia="zh-CN"/>
        </w:rPr>
        <w:t>负责处理及赔偿，</w:t>
      </w:r>
      <w:r>
        <w:rPr>
          <w:rFonts w:hint="eastAsia" w:ascii="仿宋_GB2312" w:hAnsi="仿宋_GB2312" w:eastAsia="仿宋_GB2312" w:cs="仿宋_GB2312"/>
          <w:i w:val="0"/>
          <w:caps w:val="0"/>
          <w:color w:val="auto"/>
          <w:spacing w:val="0"/>
          <w:sz w:val="32"/>
          <w:szCs w:val="32"/>
          <w:shd w:val="clear" w:fill="FFFFFF"/>
        </w:rPr>
        <w:t>与</w:t>
      </w:r>
      <w:r>
        <w:rPr>
          <w:rFonts w:hint="eastAsia" w:ascii="仿宋_GB2312" w:hAnsi="仿宋_GB2312" w:eastAsia="仿宋_GB2312" w:cs="仿宋_GB2312"/>
          <w:i w:val="0"/>
          <w:caps w:val="0"/>
          <w:color w:val="auto"/>
          <w:spacing w:val="0"/>
          <w:sz w:val="32"/>
          <w:szCs w:val="32"/>
          <w:shd w:val="clear" w:fill="FFFFFF"/>
          <w:lang w:val="en-US" w:eastAsia="zh-CN"/>
        </w:rPr>
        <w:t>采购人</w:t>
      </w:r>
      <w:r>
        <w:rPr>
          <w:rFonts w:hint="eastAsia" w:ascii="仿宋_GB2312" w:hAnsi="仿宋_GB2312" w:eastAsia="仿宋_GB2312" w:cs="仿宋_GB2312"/>
          <w:i w:val="0"/>
          <w:caps w:val="0"/>
          <w:color w:val="auto"/>
          <w:spacing w:val="0"/>
          <w:sz w:val="32"/>
          <w:szCs w:val="32"/>
          <w:shd w:val="clear" w:fill="FFFFFF"/>
        </w:rPr>
        <w:t>无关</w:t>
      </w:r>
      <w:r>
        <w:rPr>
          <w:rFonts w:hint="eastAsia" w:ascii="仿宋_GB2312" w:hAnsi="仿宋_GB2312" w:eastAsia="仿宋_GB2312" w:cs="仿宋_GB2312"/>
          <w:i w:val="0"/>
          <w:caps w:val="0"/>
          <w:color w:val="auto"/>
          <w:spacing w:val="0"/>
          <w:sz w:val="32"/>
          <w:szCs w:val="32"/>
          <w:shd w:val="clear" w:fill="FFFFFF"/>
          <w:lang w:val="en-US" w:eastAsia="zh-CN"/>
        </w:rPr>
        <w:t>。</w:t>
      </w:r>
      <w:r>
        <w:rPr>
          <w:rFonts w:hint="eastAsia" w:ascii="仿宋_GB2312" w:hAnsi="仿宋_GB2312" w:eastAsia="仿宋_GB2312" w:cs="仿宋_GB2312"/>
          <w:i w:val="0"/>
          <w:caps w:val="0"/>
          <w:color w:val="auto"/>
          <w:spacing w:val="0"/>
          <w:sz w:val="32"/>
          <w:szCs w:val="32"/>
          <w:shd w:val="clear" w:fill="FFFFFF"/>
        </w:rPr>
        <w:t>如</w:t>
      </w:r>
      <w:r>
        <w:rPr>
          <w:rFonts w:hint="eastAsia" w:ascii="仿宋_GB2312" w:hAnsi="仿宋_GB2312" w:eastAsia="仿宋_GB2312" w:cs="仿宋_GB2312"/>
          <w:i w:val="0"/>
          <w:caps w:val="0"/>
          <w:color w:val="auto"/>
          <w:spacing w:val="0"/>
          <w:sz w:val="32"/>
          <w:szCs w:val="32"/>
          <w:shd w:val="clear" w:fill="FFFFFF"/>
          <w:lang w:val="en-US" w:eastAsia="zh-CN"/>
        </w:rPr>
        <w:t>采购人</w:t>
      </w:r>
      <w:r>
        <w:rPr>
          <w:rFonts w:hint="eastAsia" w:ascii="仿宋_GB2312" w:hAnsi="仿宋_GB2312" w:eastAsia="仿宋_GB2312" w:cs="仿宋_GB2312"/>
          <w:i w:val="0"/>
          <w:caps w:val="0"/>
          <w:color w:val="auto"/>
          <w:spacing w:val="0"/>
          <w:sz w:val="32"/>
          <w:szCs w:val="32"/>
          <w:shd w:val="clear" w:fill="FFFFFF"/>
        </w:rPr>
        <w:t>因此而受损或支出任何费用，成交供应商应当承担赔偿责任。</w:t>
      </w:r>
    </w:p>
    <w:p w14:paraId="7AA7D3A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二</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成交供应商须保证项目人员的稳定性，如需调离项目人员时，应提前7天以书面形式通知采购人并征得采购人同意后方可调离项目人员。（项目人员因自身理由紧急离职</w:t>
      </w:r>
      <w:r>
        <w:rPr>
          <w:rFonts w:hint="eastAsia" w:ascii="仿宋_GB2312" w:hAnsi="仿宋_GB2312" w:eastAsia="仿宋_GB2312" w:cs="仿宋_GB2312"/>
          <w:i w:val="0"/>
          <w:caps w:val="0"/>
          <w:color w:val="auto"/>
          <w:spacing w:val="0"/>
          <w:sz w:val="32"/>
          <w:szCs w:val="32"/>
          <w:shd w:val="clear" w:fill="FFFFFF"/>
          <w:lang w:eastAsia="zh-CN"/>
        </w:rPr>
        <w:t>的，成效供应商须两日内及时安排人员到岗</w:t>
      </w:r>
      <w:r>
        <w:rPr>
          <w:rFonts w:hint="eastAsia" w:ascii="仿宋_GB2312" w:hAnsi="仿宋_GB2312" w:eastAsia="仿宋_GB2312" w:cs="仿宋_GB2312"/>
          <w:i w:val="0"/>
          <w:caps w:val="0"/>
          <w:color w:val="auto"/>
          <w:spacing w:val="0"/>
          <w:sz w:val="32"/>
          <w:szCs w:val="32"/>
          <w:shd w:val="clear" w:fill="FFFFFF"/>
        </w:rPr>
        <w:t>）。</w:t>
      </w:r>
    </w:p>
    <w:p w14:paraId="5317A8E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三</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成交供应商委派的项目人员须遵守采购人有关规章制度和管理规定，如有违反或损害采购人利益的行为，采购人有权要求成交供应商中止该人员所辖工作，并要求成交供应商无条件更换不低于采购人要求的人员继续进行其工作。</w:t>
      </w:r>
    </w:p>
    <w:p w14:paraId="27BA049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四</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采购人认为成交供应商所委派的工作人员不服从管理，成交供应商应当在收到采购人的书面通知后7天内更换，且成交供应商保证无条件更换不低于采购人要求的人员继续进行其工作。</w:t>
      </w:r>
    </w:p>
    <w:p w14:paraId="5C1F8E4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五</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采购人不负责成交供应商委派的项目人员的食宿、交通、交通工具等问题。</w:t>
      </w:r>
    </w:p>
    <w:p w14:paraId="5E5D292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六</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采购人如有突发情况发生需安排加班工作的，成交供应商需接受采购人的加班工作安排，并自行解决交通、食宿问题；由此产生的费用由成交供应商负责。</w:t>
      </w:r>
    </w:p>
    <w:p w14:paraId="7468EC0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七</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成交供应商需承诺双方签订合同</w:t>
      </w:r>
      <w:r>
        <w:rPr>
          <w:rFonts w:hint="eastAsia" w:ascii="仿宋_GB2312" w:hAnsi="仿宋_GB2312" w:eastAsia="仿宋_GB2312" w:cs="仿宋_GB2312"/>
          <w:i w:val="0"/>
          <w:caps w:val="0"/>
          <w:color w:val="auto"/>
          <w:spacing w:val="0"/>
          <w:sz w:val="32"/>
          <w:szCs w:val="32"/>
          <w:shd w:val="clear" w:fill="FFFFFF"/>
          <w:lang w:eastAsia="zh-CN"/>
        </w:rPr>
        <w:t>前</w:t>
      </w:r>
      <w:r>
        <w:rPr>
          <w:rFonts w:hint="eastAsia" w:ascii="仿宋_GB2312" w:hAnsi="仿宋_GB2312" w:eastAsia="仿宋_GB2312" w:cs="仿宋_GB2312"/>
          <w:i w:val="0"/>
          <w:caps w:val="0"/>
          <w:color w:val="auto"/>
          <w:spacing w:val="0"/>
          <w:sz w:val="32"/>
          <w:szCs w:val="32"/>
          <w:shd w:val="clear" w:fill="FFFFFF"/>
        </w:rPr>
        <w:t>10天内按照采购方的招标文件人员要求配备项目人员到岗。（投标文件中提供承诺函，不提供视为无效）</w:t>
      </w:r>
    </w:p>
    <w:p w14:paraId="61178B4B">
      <w:pPr>
        <w:keepNext w:val="0"/>
        <w:keepLines w:val="0"/>
        <w:pageBreakBefore w:val="0"/>
        <w:widowControl w:val="0"/>
        <w:kinsoku/>
        <w:wordWrap/>
        <w:overflowPunct/>
        <w:topLinePunct w:val="0"/>
        <w:autoSpaceDE/>
        <w:autoSpaceDN/>
        <w:bidi w:val="0"/>
        <w:adjustRightInd/>
        <w:snapToGrid/>
        <w:spacing w:line="574" w:lineRule="exact"/>
        <w:ind w:right="0" w:rightChars="0" w:firstLine="640" w:firstLineChars="200"/>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八</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采购人</w:t>
      </w:r>
      <w:r>
        <w:rPr>
          <w:rFonts w:hint="eastAsia" w:ascii="仿宋_GB2312" w:hAnsi="仿宋_GB2312" w:eastAsia="仿宋_GB2312" w:cs="仿宋_GB2312"/>
          <w:i w:val="0"/>
          <w:caps w:val="0"/>
          <w:color w:val="auto"/>
          <w:spacing w:val="0"/>
          <w:sz w:val="32"/>
          <w:szCs w:val="32"/>
          <w:shd w:val="clear" w:fill="FFFFFF"/>
        </w:rPr>
        <w:t>经与物业管理公司协商，</w:t>
      </w:r>
      <w:r>
        <w:rPr>
          <w:rFonts w:hint="eastAsia" w:ascii="仿宋_GB2312" w:hAnsi="仿宋_GB2312" w:eastAsia="仿宋_GB2312" w:cs="仿宋_GB2312"/>
          <w:i w:val="0"/>
          <w:caps w:val="0"/>
          <w:color w:val="auto"/>
          <w:spacing w:val="0"/>
          <w:sz w:val="32"/>
          <w:szCs w:val="32"/>
          <w:shd w:val="clear" w:fill="FFFFFF"/>
          <w:lang w:val="en-US" w:eastAsia="zh-CN"/>
        </w:rPr>
        <w:t>采购人</w:t>
      </w:r>
      <w:r>
        <w:rPr>
          <w:rFonts w:hint="eastAsia" w:ascii="仿宋_GB2312" w:hAnsi="仿宋_GB2312" w:eastAsia="仿宋_GB2312" w:cs="仿宋_GB2312"/>
          <w:i w:val="0"/>
          <w:caps w:val="0"/>
          <w:color w:val="auto"/>
          <w:spacing w:val="0"/>
          <w:sz w:val="32"/>
          <w:szCs w:val="32"/>
          <w:shd w:val="clear" w:fill="FFFFFF"/>
        </w:rPr>
        <w:t>可根据物业管理公司提供服务人员的能力，统筹安排有关人员开展工作或要求物业管理公司更换人员。</w:t>
      </w:r>
    </w:p>
    <w:p w14:paraId="759A8B9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10"/>
          <w:rFonts w:hint="eastAsia" w:ascii="黑体" w:hAnsi="黑体" w:eastAsia="黑体"/>
          <w:b w:val="0"/>
          <w:color w:val="auto"/>
          <w:sz w:val="32"/>
          <w:szCs w:val="32"/>
          <w:highlight w:val="none"/>
        </w:rPr>
      </w:pPr>
      <w:r>
        <w:rPr>
          <w:rFonts w:hint="eastAsia" w:ascii="仿宋_GB2312" w:hAnsi="仿宋_GB2312" w:eastAsia="仿宋_GB2312" w:cs="仿宋_GB2312"/>
          <w:i w:val="0"/>
          <w:caps w:val="0"/>
          <w:color w:val="auto"/>
          <w:spacing w:val="0"/>
          <w:sz w:val="32"/>
          <w:szCs w:val="32"/>
          <w:shd w:val="clear" w:fill="FFFFFF"/>
          <w:lang w:val="en-US" w:eastAsia="zh-CN"/>
        </w:rPr>
        <w:t>（九）成交供应商在与采购人签订合同的10天内配备符合采购方要求的人员到岗，并承诺</w:t>
      </w:r>
      <w:r>
        <w:rPr>
          <w:rFonts w:hint="eastAsia" w:ascii="仿宋_GB2312" w:hAnsi="仿宋_GB2312" w:eastAsia="仿宋_GB2312" w:cs="仿宋_GB2312"/>
          <w:i w:val="0"/>
          <w:caps w:val="0"/>
          <w:color w:val="auto"/>
          <w:spacing w:val="0"/>
          <w:sz w:val="32"/>
          <w:szCs w:val="32"/>
          <w:shd w:val="clear" w:fill="FFFFFF"/>
        </w:rPr>
        <w:t>清明</w:t>
      </w:r>
      <w:r>
        <w:rPr>
          <w:rFonts w:hint="eastAsia" w:ascii="仿宋_GB2312" w:hAnsi="仿宋_GB2312" w:eastAsia="仿宋_GB2312" w:cs="仿宋_GB2312"/>
          <w:i w:val="0"/>
          <w:caps w:val="0"/>
          <w:color w:val="auto"/>
          <w:spacing w:val="0"/>
          <w:sz w:val="32"/>
          <w:szCs w:val="32"/>
          <w:shd w:val="clear" w:fill="FFFFFF"/>
          <w:lang w:eastAsia="zh-CN"/>
        </w:rPr>
        <w:t>节</w:t>
      </w:r>
      <w:r>
        <w:rPr>
          <w:rFonts w:hint="eastAsia" w:ascii="仿宋_GB2312" w:hAnsi="仿宋_GB2312" w:eastAsia="仿宋_GB2312" w:cs="仿宋_GB2312"/>
          <w:i w:val="0"/>
          <w:caps w:val="0"/>
          <w:color w:val="auto"/>
          <w:spacing w:val="0"/>
          <w:sz w:val="32"/>
          <w:szCs w:val="32"/>
          <w:shd w:val="clear" w:fill="FFFFFF"/>
        </w:rPr>
        <w:t>前后烈士陵园</w:t>
      </w:r>
      <w:r>
        <w:rPr>
          <w:rFonts w:hint="eastAsia" w:ascii="仿宋_GB2312" w:hAnsi="仿宋_GB2312" w:eastAsia="仿宋_GB2312" w:cs="仿宋_GB2312"/>
          <w:i w:val="0"/>
          <w:caps w:val="0"/>
          <w:color w:val="auto"/>
          <w:spacing w:val="0"/>
          <w:sz w:val="32"/>
          <w:szCs w:val="32"/>
          <w:shd w:val="clear" w:fill="FFFFFF"/>
          <w:lang w:eastAsia="zh-CN"/>
        </w:rPr>
        <w:t>在原有保安人员数量上再</w:t>
      </w:r>
      <w:r>
        <w:rPr>
          <w:rFonts w:hint="eastAsia" w:ascii="仿宋_GB2312" w:hAnsi="仿宋_GB2312" w:eastAsia="仿宋_GB2312" w:cs="仿宋_GB2312"/>
          <w:i w:val="0"/>
          <w:caps w:val="0"/>
          <w:color w:val="auto"/>
          <w:spacing w:val="0"/>
          <w:sz w:val="32"/>
          <w:szCs w:val="32"/>
          <w:shd w:val="clear" w:fill="FFFFFF"/>
        </w:rPr>
        <w:t>增加</w:t>
      </w:r>
      <w:r>
        <w:rPr>
          <w:rFonts w:hint="eastAsia" w:ascii="仿宋_GB2312" w:hAnsi="仿宋_GB2312" w:eastAsia="仿宋_GB2312" w:cs="仿宋_GB2312"/>
          <w:i w:val="0"/>
          <w:caps w:val="0"/>
          <w:color w:val="auto"/>
          <w:spacing w:val="0"/>
          <w:sz w:val="32"/>
          <w:szCs w:val="32"/>
          <w:shd w:val="clear" w:fill="FFFFFF"/>
          <w:lang w:val="en-US" w:eastAsia="zh-CN"/>
        </w:rPr>
        <w:t>3名</w:t>
      </w:r>
      <w:r>
        <w:rPr>
          <w:rFonts w:hint="eastAsia" w:ascii="仿宋_GB2312" w:hAnsi="仿宋_GB2312" w:eastAsia="仿宋_GB2312" w:cs="仿宋_GB2312"/>
          <w:i w:val="0"/>
          <w:caps w:val="0"/>
          <w:color w:val="auto"/>
          <w:spacing w:val="0"/>
          <w:sz w:val="32"/>
          <w:szCs w:val="32"/>
          <w:shd w:val="clear" w:fill="FFFFFF"/>
        </w:rPr>
        <w:t>安保</w:t>
      </w:r>
      <w:r>
        <w:rPr>
          <w:rFonts w:hint="eastAsia" w:ascii="仿宋_GB2312" w:hAnsi="仿宋_GB2312" w:eastAsia="仿宋_GB2312" w:cs="仿宋_GB2312"/>
          <w:i w:val="0"/>
          <w:caps w:val="0"/>
          <w:color w:val="auto"/>
          <w:spacing w:val="0"/>
          <w:sz w:val="32"/>
          <w:szCs w:val="32"/>
          <w:shd w:val="clear" w:fill="FFFFFF"/>
          <w:lang w:eastAsia="zh-CN"/>
        </w:rPr>
        <w:t>人员</w:t>
      </w:r>
      <w:r>
        <w:rPr>
          <w:rFonts w:hint="eastAsia" w:ascii="仿宋_GB2312" w:hAnsi="仿宋_GB2312" w:eastAsia="仿宋_GB2312" w:cs="仿宋_GB2312"/>
          <w:i w:val="0"/>
          <w:caps w:val="0"/>
          <w:color w:val="auto"/>
          <w:spacing w:val="0"/>
          <w:sz w:val="32"/>
          <w:szCs w:val="32"/>
          <w:shd w:val="clear" w:fill="FFFFFF"/>
          <w:lang w:val="en-US" w:eastAsia="zh-CN"/>
        </w:rPr>
        <w:t>(时间1个星期）</w:t>
      </w:r>
      <w:r>
        <w:rPr>
          <w:rFonts w:hint="eastAsia" w:ascii="仿宋_GB2312" w:hAnsi="仿宋_GB2312" w:eastAsia="仿宋_GB2312" w:cs="仿宋_GB2312"/>
          <w:i w:val="0"/>
          <w:caps w:val="0"/>
          <w:color w:val="auto"/>
          <w:spacing w:val="0"/>
          <w:sz w:val="32"/>
          <w:szCs w:val="32"/>
          <w:shd w:val="clear" w:fill="FFFFFF"/>
          <w:lang w:eastAsia="zh-CN"/>
        </w:rPr>
        <w:t>维护现场秩序</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val="en-US" w:eastAsia="zh-CN"/>
        </w:rPr>
        <w:t>烈士纪念日活动前在原有</w:t>
      </w:r>
      <w:r>
        <w:rPr>
          <w:rFonts w:hint="eastAsia" w:ascii="仿宋_GB2312" w:hAnsi="仿宋_GB2312" w:eastAsia="仿宋_GB2312" w:cs="仿宋_GB2312"/>
          <w:i w:val="0"/>
          <w:caps w:val="0"/>
          <w:color w:val="auto"/>
          <w:spacing w:val="0"/>
          <w:sz w:val="32"/>
          <w:szCs w:val="32"/>
          <w:shd w:val="clear" w:fill="FFFFFF"/>
          <w:lang w:eastAsia="zh-CN"/>
        </w:rPr>
        <w:t>保安人员数量上再</w:t>
      </w:r>
      <w:r>
        <w:rPr>
          <w:rFonts w:hint="eastAsia" w:ascii="仿宋_GB2312" w:hAnsi="仿宋_GB2312" w:eastAsia="仿宋_GB2312" w:cs="仿宋_GB2312"/>
          <w:i w:val="0"/>
          <w:caps w:val="0"/>
          <w:color w:val="auto"/>
          <w:spacing w:val="0"/>
          <w:sz w:val="32"/>
          <w:szCs w:val="32"/>
          <w:shd w:val="clear" w:fill="FFFFFF"/>
        </w:rPr>
        <w:t>增加</w:t>
      </w:r>
      <w:r>
        <w:rPr>
          <w:rFonts w:hint="eastAsia" w:ascii="仿宋_GB2312" w:hAnsi="仿宋_GB2312" w:eastAsia="仿宋_GB2312" w:cs="仿宋_GB2312"/>
          <w:i w:val="0"/>
          <w:caps w:val="0"/>
          <w:color w:val="auto"/>
          <w:spacing w:val="0"/>
          <w:sz w:val="32"/>
          <w:szCs w:val="32"/>
          <w:shd w:val="clear" w:fill="FFFFFF"/>
          <w:lang w:val="en-US" w:eastAsia="zh-CN"/>
        </w:rPr>
        <w:t>10名</w:t>
      </w:r>
      <w:r>
        <w:rPr>
          <w:rFonts w:hint="eastAsia" w:ascii="仿宋_GB2312" w:hAnsi="仿宋_GB2312" w:eastAsia="仿宋_GB2312" w:cs="仿宋_GB2312"/>
          <w:i w:val="0"/>
          <w:caps w:val="0"/>
          <w:color w:val="auto"/>
          <w:spacing w:val="0"/>
          <w:sz w:val="32"/>
          <w:szCs w:val="32"/>
          <w:shd w:val="clear" w:fill="FFFFFF"/>
        </w:rPr>
        <w:t>安保</w:t>
      </w:r>
      <w:r>
        <w:rPr>
          <w:rFonts w:hint="eastAsia" w:ascii="仿宋_GB2312" w:hAnsi="仿宋_GB2312" w:eastAsia="仿宋_GB2312" w:cs="仿宋_GB2312"/>
          <w:i w:val="0"/>
          <w:caps w:val="0"/>
          <w:color w:val="auto"/>
          <w:spacing w:val="0"/>
          <w:sz w:val="32"/>
          <w:szCs w:val="32"/>
          <w:shd w:val="clear" w:fill="FFFFFF"/>
          <w:lang w:eastAsia="zh-CN"/>
        </w:rPr>
        <w:t>人员</w:t>
      </w:r>
      <w:r>
        <w:rPr>
          <w:rFonts w:hint="eastAsia" w:ascii="仿宋_GB2312" w:hAnsi="仿宋_GB2312" w:eastAsia="仿宋_GB2312" w:cs="仿宋_GB2312"/>
          <w:i w:val="0"/>
          <w:caps w:val="0"/>
          <w:color w:val="auto"/>
          <w:spacing w:val="0"/>
          <w:sz w:val="32"/>
          <w:szCs w:val="32"/>
          <w:shd w:val="clear" w:fill="FFFFFF"/>
          <w:lang w:val="en-US" w:eastAsia="zh-CN"/>
        </w:rPr>
        <w:t>协助纪念活动（时间半天）；未按要求安排人员到岗，采购人有权随时终止合同，成交供应商承担相应的法律责任。</w:t>
      </w:r>
    </w:p>
    <w:p w14:paraId="4FB2D72C">
      <w:pPr>
        <w:keepNext w:val="0"/>
        <w:keepLines w:val="0"/>
        <w:pageBreakBefore w:val="0"/>
        <w:widowControl/>
        <w:kinsoku/>
        <w:wordWrap/>
        <w:overflowPunct/>
        <w:topLinePunct w:val="0"/>
        <w:autoSpaceDE/>
        <w:autoSpaceDN/>
        <w:bidi w:val="0"/>
        <w:spacing w:line="574" w:lineRule="exact"/>
        <w:ind w:firstLine="640" w:firstLineChars="200"/>
        <w:jc w:val="center"/>
        <w:textAlignment w:val="auto"/>
        <w:outlineLvl w:val="0"/>
        <w:rPr>
          <w:rStyle w:val="10"/>
          <w:rFonts w:ascii="黑体" w:hAnsi="黑体" w:eastAsia="黑体"/>
          <w:b w:val="0"/>
          <w:color w:val="auto"/>
          <w:sz w:val="32"/>
          <w:szCs w:val="32"/>
          <w:highlight w:val="none"/>
        </w:rPr>
      </w:pPr>
      <w:r>
        <w:rPr>
          <w:rStyle w:val="10"/>
          <w:rFonts w:hint="eastAsia" w:ascii="黑体" w:hAnsi="黑体" w:eastAsia="黑体"/>
          <w:b w:val="0"/>
          <w:color w:val="auto"/>
          <w:sz w:val="32"/>
          <w:szCs w:val="32"/>
          <w:highlight w:val="none"/>
        </w:rPr>
        <w:t>报价明细格式及内容参考</w:t>
      </w:r>
    </w:p>
    <w:tbl>
      <w:tblPr>
        <w:tblStyle w:val="8"/>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28" w:type="dxa"/>
          <w:bottom w:w="85" w:type="dxa"/>
          <w:right w:w="28" w:type="dxa"/>
        </w:tblCellMar>
      </w:tblPr>
      <w:tblGrid>
        <w:gridCol w:w="668"/>
        <w:gridCol w:w="567"/>
        <w:gridCol w:w="753"/>
        <w:gridCol w:w="532"/>
        <w:gridCol w:w="900"/>
        <w:gridCol w:w="900"/>
        <w:gridCol w:w="900"/>
        <w:gridCol w:w="1098"/>
        <w:gridCol w:w="1097"/>
        <w:gridCol w:w="1098"/>
        <w:gridCol w:w="498"/>
      </w:tblGrid>
      <w:tr w14:paraId="49870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trHeight w:val="227" w:hRule="atLeast"/>
          <w:jc w:val="center"/>
        </w:trPr>
        <w:tc>
          <w:tcPr>
            <w:tcW w:w="668" w:type="dxa"/>
            <w:vMerge w:val="restart"/>
            <w:vAlign w:val="center"/>
          </w:tcPr>
          <w:p w14:paraId="43DB87D7">
            <w:pPr>
              <w:keepNext w:val="0"/>
              <w:keepLines w:val="0"/>
              <w:pageBreakBefore w:val="0"/>
              <w:kinsoku/>
              <w:wordWrap/>
              <w:overflowPunct/>
              <w:topLinePunct w:val="0"/>
              <w:autoSpaceDE/>
              <w:autoSpaceDN/>
              <w:bidi w:val="0"/>
              <w:adjustRightInd w:val="0"/>
              <w:snapToGrid w:val="0"/>
              <w:spacing w:line="574" w:lineRule="exact"/>
              <w:jc w:val="both"/>
              <w:textAlignment w:val="auto"/>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服务区域</w:t>
            </w:r>
          </w:p>
        </w:tc>
        <w:tc>
          <w:tcPr>
            <w:tcW w:w="567" w:type="dxa"/>
            <w:vMerge w:val="restart"/>
            <w:vAlign w:val="center"/>
          </w:tcPr>
          <w:p w14:paraId="4F1A08BF">
            <w:pPr>
              <w:keepNext w:val="0"/>
              <w:keepLines w:val="0"/>
              <w:pageBreakBefore w:val="0"/>
              <w:kinsoku/>
              <w:wordWrap/>
              <w:overflowPunct/>
              <w:topLinePunct w:val="0"/>
              <w:autoSpaceDE/>
              <w:autoSpaceDN/>
              <w:bidi w:val="0"/>
              <w:adjustRightInd w:val="0"/>
              <w:snapToGrid w:val="0"/>
              <w:spacing w:line="574" w:lineRule="exact"/>
              <w:jc w:val="both"/>
              <w:textAlignment w:val="auto"/>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部门</w:t>
            </w:r>
          </w:p>
        </w:tc>
        <w:tc>
          <w:tcPr>
            <w:tcW w:w="753" w:type="dxa"/>
            <w:vMerge w:val="restart"/>
            <w:vAlign w:val="center"/>
          </w:tcPr>
          <w:p w14:paraId="08FD89FB">
            <w:pPr>
              <w:keepNext w:val="0"/>
              <w:keepLines w:val="0"/>
              <w:pageBreakBefore w:val="0"/>
              <w:kinsoku/>
              <w:wordWrap/>
              <w:overflowPunct/>
              <w:topLinePunct w:val="0"/>
              <w:autoSpaceDE/>
              <w:autoSpaceDN/>
              <w:bidi w:val="0"/>
              <w:adjustRightInd w:val="0"/>
              <w:snapToGrid w:val="0"/>
              <w:spacing w:line="574" w:lineRule="exact"/>
              <w:jc w:val="both"/>
              <w:textAlignment w:val="auto"/>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岗位名称</w:t>
            </w:r>
          </w:p>
        </w:tc>
        <w:tc>
          <w:tcPr>
            <w:tcW w:w="532" w:type="dxa"/>
            <w:vMerge w:val="restart"/>
            <w:vAlign w:val="center"/>
          </w:tcPr>
          <w:p w14:paraId="6394D6F7">
            <w:pPr>
              <w:keepNext w:val="0"/>
              <w:keepLines w:val="0"/>
              <w:pageBreakBefore w:val="0"/>
              <w:kinsoku/>
              <w:wordWrap/>
              <w:overflowPunct/>
              <w:topLinePunct w:val="0"/>
              <w:autoSpaceDE/>
              <w:autoSpaceDN/>
              <w:bidi w:val="0"/>
              <w:adjustRightInd w:val="0"/>
              <w:snapToGrid w:val="0"/>
              <w:spacing w:line="574" w:lineRule="exact"/>
              <w:jc w:val="both"/>
              <w:textAlignment w:val="auto"/>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人数</w:t>
            </w:r>
          </w:p>
        </w:tc>
        <w:tc>
          <w:tcPr>
            <w:tcW w:w="2700" w:type="dxa"/>
            <w:gridSpan w:val="3"/>
            <w:vAlign w:val="center"/>
          </w:tcPr>
          <w:p w14:paraId="66CA73B0">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center"/>
              <w:textAlignment w:val="auto"/>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以下3项不需要乘以人数</w:t>
            </w:r>
          </w:p>
        </w:tc>
        <w:tc>
          <w:tcPr>
            <w:tcW w:w="1098" w:type="dxa"/>
            <w:vMerge w:val="restart"/>
            <w:vAlign w:val="center"/>
          </w:tcPr>
          <w:p w14:paraId="5F0BB1B0">
            <w:pPr>
              <w:keepNext w:val="0"/>
              <w:keepLines w:val="0"/>
              <w:pageBreakBefore w:val="0"/>
              <w:kinsoku/>
              <w:wordWrap/>
              <w:overflowPunct/>
              <w:topLinePunct w:val="0"/>
              <w:autoSpaceDE/>
              <w:autoSpaceDN/>
              <w:bidi w:val="0"/>
              <w:adjustRightInd w:val="0"/>
              <w:snapToGrid w:val="0"/>
              <w:spacing w:line="574" w:lineRule="exact"/>
              <w:ind w:firstLine="482" w:firstLineChars="200"/>
              <w:jc w:val="center"/>
              <w:textAlignment w:val="auto"/>
              <w:rPr>
                <w:rFonts w:ascii="仿宋_GB2312" w:hAnsi="宋体" w:eastAsia="仿宋_GB2312" w:cs="宋体"/>
                <w:b/>
                <w:color w:val="auto"/>
                <w:sz w:val="24"/>
                <w:szCs w:val="24"/>
                <w:highlight w:val="none"/>
              </w:rPr>
            </w:pPr>
            <w:r>
              <w:rPr>
                <w:rFonts w:hint="eastAsia" w:ascii="仿宋_GB2312" w:hAnsi="宋体" w:eastAsia="仿宋_GB2312" w:cs="宋体"/>
                <w:b/>
                <w:color w:val="auto"/>
                <w:sz w:val="24"/>
                <w:szCs w:val="24"/>
                <w:highlight w:val="none"/>
              </w:rPr>
              <w:t>岗位成本</w:t>
            </w:r>
            <w:r>
              <w:rPr>
                <w:rFonts w:hint="eastAsia" w:ascii="仿宋_GB2312" w:hAnsi="宋体" w:eastAsia="仿宋_GB2312" w:cs="宋体"/>
                <w:color w:val="auto"/>
                <w:sz w:val="24"/>
                <w:szCs w:val="24"/>
                <w:highlight w:val="none"/>
              </w:rPr>
              <w:t>（元/月）</w:t>
            </w:r>
          </w:p>
          <w:p w14:paraId="2EA1CABC">
            <w:pPr>
              <w:keepNext w:val="0"/>
              <w:keepLines w:val="0"/>
              <w:pageBreakBefore w:val="0"/>
              <w:kinsoku/>
              <w:wordWrap/>
              <w:overflowPunct/>
              <w:topLinePunct w:val="0"/>
              <w:autoSpaceDE/>
              <w:autoSpaceDN/>
              <w:bidi w:val="0"/>
              <w:adjustRightInd w:val="0"/>
              <w:snapToGrid w:val="0"/>
              <w:spacing w:line="574" w:lineRule="exact"/>
              <w:ind w:firstLine="480" w:firstLineChars="200"/>
              <w:jc w:val="center"/>
              <w:textAlignment w:val="auto"/>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【本项乘以对应人数合算】</w:t>
            </w:r>
          </w:p>
        </w:tc>
        <w:tc>
          <w:tcPr>
            <w:tcW w:w="1097" w:type="dxa"/>
            <w:vMerge w:val="restart"/>
            <w:vAlign w:val="center"/>
          </w:tcPr>
          <w:p w14:paraId="147550E2">
            <w:pPr>
              <w:keepNext w:val="0"/>
              <w:keepLines w:val="0"/>
              <w:pageBreakBefore w:val="0"/>
              <w:kinsoku/>
              <w:wordWrap/>
              <w:overflowPunct/>
              <w:topLinePunct w:val="0"/>
              <w:autoSpaceDE/>
              <w:autoSpaceDN/>
              <w:bidi w:val="0"/>
              <w:adjustRightInd w:val="0"/>
              <w:snapToGrid w:val="0"/>
              <w:spacing w:line="574" w:lineRule="exact"/>
              <w:ind w:firstLine="482" w:firstLineChars="200"/>
              <w:jc w:val="center"/>
              <w:textAlignment w:val="auto"/>
              <w:rPr>
                <w:rFonts w:ascii="仿宋_GB2312" w:hAnsi="宋体" w:eastAsia="仿宋_GB2312" w:cs="宋体"/>
                <w:color w:val="auto"/>
                <w:sz w:val="24"/>
                <w:szCs w:val="24"/>
                <w:highlight w:val="none"/>
              </w:rPr>
            </w:pPr>
            <w:r>
              <w:rPr>
                <w:rFonts w:hint="eastAsia" w:ascii="仿宋_GB2312" w:hAnsi="宋体" w:eastAsia="仿宋_GB2312" w:cs="宋体"/>
                <w:b/>
                <w:color w:val="auto"/>
                <w:sz w:val="24"/>
                <w:szCs w:val="24"/>
                <w:highlight w:val="none"/>
              </w:rPr>
              <w:t>其他成本</w:t>
            </w:r>
            <w:r>
              <w:rPr>
                <w:rFonts w:hint="eastAsia" w:ascii="仿宋_GB2312" w:hAnsi="宋体" w:eastAsia="仿宋_GB2312" w:cs="宋体"/>
                <w:color w:val="auto"/>
                <w:sz w:val="24"/>
                <w:szCs w:val="24"/>
                <w:highlight w:val="none"/>
              </w:rPr>
              <w:t>（元/月）</w:t>
            </w:r>
          </w:p>
        </w:tc>
        <w:tc>
          <w:tcPr>
            <w:tcW w:w="1098" w:type="dxa"/>
            <w:vMerge w:val="restart"/>
            <w:vAlign w:val="center"/>
          </w:tcPr>
          <w:p w14:paraId="10FFE2D4">
            <w:pPr>
              <w:keepNext w:val="0"/>
              <w:keepLines w:val="0"/>
              <w:pageBreakBefore w:val="0"/>
              <w:kinsoku/>
              <w:wordWrap/>
              <w:overflowPunct/>
              <w:topLinePunct w:val="0"/>
              <w:autoSpaceDE/>
              <w:autoSpaceDN/>
              <w:bidi w:val="0"/>
              <w:adjustRightInd w:val="0"/>
              <w:snapToGrid w:val="0"/>
              <w:spacing w:line="574" w:lineRule="exact"/>
              <w:ind w:firstLine="482" w:firstLineChars="200"/>
              <w:jc w:val="center"/>
              <w:textAlignment w:val="auto"/>
              <w:rPr>
                <w:rFonts w:ascii="仿宋_GB2312" w:hAnsi="宋体" w:eastAsia="仿宋_GB2312" w:cs="宋体"/>
                <w:color w:val="auto"/>
                <w:sz w:val="24"/>
                <w:szCs w:val="24"/>
                <w:highlight w:val="none"/>
              </w:rPr>
            </w:pPr>
            <w:r>
              <w:rPr>
                <w:rFonts w:hint="eastAsia" w:ascii="仿宋_GB2312" w:hAnsi="宋体" w:eastAsia="仿宋_GB2312" w:cs="宋体"/>
                <w:b/>
                <w:color w:val="auto"/>
                <w:sz w:val="24"/>
                <w:szCs w:val="24"/>
                <w:highlight w:val="none"/>
              </w:rPr>
              <w:t>税费</w:t>
            </w:r>
            <w:r>
              <w:rPr>
                <w:rFonts w:hint="eastAsia" w:ascii="仿宋_GB2312" w:hAnsi="宋体" w:eastAsia="仿宋_GB2312" w:cs="宋体"/>
                <w:color w:val="auto"/>
                <w:sz w:val="24"/>
                <w:szCs w:val="24"/>
                <w:highlight w:val="none"/>
              </w:rPr>
              <w:t>A%（元/月）</w:t>
            </w:r>
          </w:p>
        </w:tc>
        <w:tc>
          <w:tcPr>
            <w:tcW w:w="498" w:type="dxa"/>
            <w:vMerge w:val="restart"/>
            <w:vAlign w:val="center"/>
          </w:tcPr>
          <w:p w14:paraId="78BA5868">
            <w:pPr>
              <w:keepNext w:val="0"/>
              <w:keepLines w:val="0"/>
              <w:pageBreakBefore w:val="0"/>
              <w:kinsoku/>
              <w:wordWrap/>
              <w:overflowPunct/>
              <w:topLinePunct w:val="0"/>
              <w:autoSpaceDE/>
              <w:autoSpaceDN/>
              <w:bidi w:val="0"/>
              <w:adjustRightInd w:val="0"/>
              <w:snapToGrid w:val="0"/>
              <w:spacing w:line="574" w:lineRule="exact"/>
              <w:ind w:firstLine="480" w:firstLineChars="200"/>
              <w:jc w:val="center"/>
              <w:textAlignment w:val="auto"/>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备注</w:t>
            </w:r>
          </w:p>
        </w:tc>
      </w:tr>
      <w:tr w14:paraId="2B13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trHeight w:val="227" w:hRule="atLeast"/>
          <w:jc w:val="center"/>
        </w:trPr>
        <w:tc>
          <w:tcPr>
            <w:tcW w:w="668" w:type="dxa"/>
            <w:vMerge w:val="continue"/>
            <w:vAlign w:val="center"/>
          </w:tcPr>
          <w:p w14:paraId="460194B7">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center"/>
              <w:textAlignment w:val="auto"/>
              <w:rPr>
                <w:rFonts w:ascii="仿宋_GB2312" w:hAnsi="宋体" w:eastAsia="仿宋_GB2312" w:cs="宋体"/>
                <w:color w:val="auto"/>
                <w:sz w:val="24"/>
                <w:szCs w:val="24"/>
                <w:highlight w:val="none"/>
              </w:rPr>
            </w:pPr>
          </w:p>
        </w:tc>
        <w:tc>
          <w:tcPr>
            <w:tcW w:w="567" w:type="dxa"/>
            <w:vMerge w:val="continue"/>
            <w:vAlign w:val="center"/>
          </w:tcPr>
          <w:p w14:paraId="09385CB5">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center"/>
              <w:textAlignment w:val="auto"/>
              <w:rPr>
                <w:rFonts w:ascii="仿宋_GB2312" w:hAnsi="宋体" w:eastAsia="仿宋_GB2312" w:cs="宋体"/>
                <w:color w:val="auto"/>
                <w:sz w:val="24"/>
                <w:szCs w:val="24"/>
                <w:highlight w:val="none"/>
              </w:rPr>
            </w:pPr>
          </w:p>
        </w:tc>
        <w:tc>
          <w:tcPr>
            <w:tcW w:w="753" w:type="dxa"/>
            <w:vMerge w:val="continue"/>
            <w:vAlign w:val="center"/>
          </w:tcPr>
          <w:p w14:paraId="75B45840">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center"/>
              <w:textAlignment w:val="auto"/>
              <w:rPr>
                <w:rFonts w:ascii="仿宋_GB2312" w:hAnsi="宋体" w:eastAsia="仿宋_GB2312" w:cs="宋体"/>
                <w:color w:val="auto"/>
                <w:sz w:val="24"/>
                <w:szCs w:val="24"/>
                <w:highlight w:val="none"/>
              </w:rPr>
            </w:pPr>
          </w:p>
        </w:tc>
        <w:tc>
          <w:tcPr>
            <w:tcW w:w="532" w:type="dxa"/>
            <w:vMerge w:val="continue"/>
            <w:vAlign w:val="center"/>
          </w:tcPr>
          <w:p w14:paraId="6D9AE534">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center"/>
              <w:textAlignment w:val="auto"/>
              <w:rPr>
                <w:rFonts w:ascii="仿宋_GB2312" w:hAnsi="宋体" w:eastAsia="仿宋_GB2312" w:cs="宋体"/>
                <w:color w:val="auto"/>
                <w:sz w:val="24"/>
                <w:szCs w:val="24"/>
                <w:highlight w:val="none"/>
              </w:rPr>
            </w:pPr>
          </w:p>
        </w:tc>
        <w:tc>
          <w:tcPr>
            <w:tcW w:w="900" w:type="dxa"/>
            <w:vAlign w:val="center"/>
          </w:tcPr>
          <w:p w14:paraId="6C84EE05">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center"/>
              <w:textAlignment w:val="auto"/>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工资</w:t>
            </w:r>
          </w:p>
          <w:p w14:paraId="04D6923E">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center"/>
              <w:textAlignment w:val="auto"/>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(元/月每人)</w:t>
            </w:r>
          </w:p>
        </w:tc>
        <w:tc>
          <w:tcPr>
            <w:tcW w:w="900" w:type="dxa"/>
            <w:vAlign w:val="center"/>
          </w:tcPr>
          <w:p w14:paraId="61FDEDC4">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center"/>
              <w:textAlignment w:val="auto"/>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社保</w:t>
            </w:r>
          </w:p>
          <w:p w14:paraId="115BD6B7">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center"/>
              <w:textAlignment w:val="auto"/>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(元/月每人)</w:t>
            </w:r>
          </w:p>
        </w:tc>
        <w:tc>
          <w:tcPr>
            <w:tcW w:w="900" w:type="dxa"/>
            <w:vAlign w:val="center"/>
          </w:tcPr>
          <w:p w14:paraId="795BA3C7">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center"/>
              <w:textAlignment w:val="auto"/>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公积金及福利费等</w:t>
            </w:r>
          </w:p>
          <w:p w14:paraId="136D2028">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center"/>
              <w:textAlignment w:val="auto"/>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(元/月每人)</w:t>
            </w:r>
          </w:p>
        </w:tc>
        <w:tc>
          <w:tcPr>
            <w:tcW w:w="1098" w:type="dxa"/>
            <w:vMerge w:val="continue"/>
            <w:vAlign w:val="center"/>
          </w:tcPr>
          <w:p w14:paraId="56A84CD9">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center"/>
              <w:textAlignment w:val="auto"/>
              <w:rPr>
                <w:rFonts w:ascii="仿宋_GB2312" w:hAnsi="宋体" w:eastAsia="仿宋_GB2312" w:cs="宋体"/>
                <w:color w:val="auto"/>
                <w:sz w:val="24"/>
                <w:szCs w:val="24"/>
                <w:highlight w:val="none"/>
              </w:rPr>
            </w:pPr>
          </w:p>
        </w:tc>
        <w:tc>
          <w:tcPr>
            <w:tcW w:w="1097" w:type="dxa"/>
            <w:vMerge w:val="continue"/>
            <w:vAlign w:val="center"/>
          </w:tcPr>
          <w:p w14:paraId="38E9C888">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center"/>
              <w:textAlignment w:val="auto"/>
              <w:rPr>
                <w:rFonts w:ascii="仿宋_GB2312" w:hAnsi="宋体" w:eastAsia="仿宋_GB2312" w:cs="宋体"/>
                <w:color w:val="auto"/>
                <w:sz w:val="24"/>
                <w:szCs w:val="24"/>
                <w:highlight w:val="none"/>
              </w:rPr>
            </w:pPr>
          </w:p>
        </w:tc>
        <w:tc>
          <w:tcPr>
            <w:tcW w:w="1098" w:type="dxa"/>
            <w:vMerge w:val="continue"/>
            <w:vAlign w:val="center"/>
          </w:tcPr>
          <w:p w14:paraId="4A1C0EDB">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center"/>
              <w:textAlignment w:val="auto"/>
              <w:rPr>
                <w:rFonts w:ascii="仿宋_GB2312" w:hAnsi="宋体" w:eastAsia="仿宋_GB2312" w:cs="宋体"/>
                <w:color w:val="auto"/>
                <w:sz w:val="24"/>
                <w:szCs w:val="24"/>
                <w:highlight w:val="none"/>
              </w:rPr>
            </w:pPr>
          </w:p>
        </w:tc>
        <w:tc>
          <w:tcPr>
            <w:tcW w:w="498" w:type="dxa"/>
            <w:vMerge w:val="continue"/>
            <w:vAlign w:val="center"/>
          </w:tcPr>
          <w:p w14:paraId="0E33E303">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center"/>
              <w:textAlignment w:val="auto"/>
              <w:rPr>
                <w:rFonts w:ascii="仿宋_GB2312" w:hAnsi="宋体" w:eastAsia="仿宋_GB2312" w:cs="宋体"/>
                <w:color w:val="auto"/>
                <w:sz w:val="24"/>
                <w:szCs w:val="24"/>
                <w:highlight w:val="none"/>
              </w:rPr>
            </w:pPr>
          </w:p>
        </w:tc>
      </w:tr>
      <w:tr w14:paraId="30CA7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trHeight w:val="227" w:hRule="atLeast"/>
          <w:jc w:val="center"/>
        </w:trPr>
        <w:tc>
          <w:tcPr>
            <w:tcW w:w="668" w:type="dxa"/>
            <w:vMerge w:val="restart"/>
            <w:vAlign w:val="center"/>
          </w:tcPr>
          <w:p w14:paraId="7364E8BC">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center"/>
              <w:textAlignment w:val="auto"/>
              <w:rPr>
                <w:rFonts w:ascii="仿宋_GB2312" w:hAnsi="宋体" w:eastAsia="仿宋_GB2312" w:cs="宋体"/>
                <w:color w:val="auto"/>
                <w:sz w:val="24"/>
                <w:szCs w:val="24"/>
                <w:highlight w:val="none"/>
              </w:rPr>
            </w:pPr>
          </w:p>
        </w:tc>
        <w:tc>
          <w:tcPr>
            <w:tcW w:w="567" w:type="dxa"/>
            <w:vAlign w:val="center"/>
          </w:tcPr>
          <w:p w14:paraId="2A8BC6C5">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center"/>
              <w:textAlignment w:val="auto"/>
              <w:rPr>
                <w:rFonts w:ascii="仿宋_GB2312" w:hAnsi="宋体" w:eastAsia="仿宋_GB2312" w:cs="宋体"/>
                <w:color w:val="auto"/>
                <w:sz w:val="24"/>
                <w:szCs w:val="24"/>
                <w:highlight w:val="none"/>
              </w:rPr>
            </w:pPr>
          </w:p>
        </w:tc>
        <w:tc>
          <w:tcPr>
            <w:tcW w:w="753" w:type="dxa"/>
            <w:vAlign w:val="center"/>
          </w:tcPr>
          <w:p w14:paraId="3A63FFCB">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center"/>
              <w:textAlignment w:val="auto"/>
              <w:rPr>
                <w:rFonts w:ascii="仿宋_GB2312" w:hAnsi="宋体" w:eastAsia="仿宋_GB2312" w:cs="宋体"/>
                <w:color w:val="auto"/>
                <w:sz w:val="24"/>
                <w:szCs w:val="24"/>
                <w:highlight w:val="none"/>
              </w:rPr>
            </w:pPr>
          </w:p>
        </w:tc>
        <w:tc>
          <w:tcPr>
            <w:tcW w:w="532" w:type="dxa"/>
            <w:vAlign w:val="center"/>
          </w:tcPr>
          <w:p w14:paraId="57EAAB6A">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center"/>
              <w:textAlignment w:val="auto"/>
              <w:rPr>
                <w:rFonts w:ascii="仿宋_GB2312" w:hAnsi="宋体" w:eastAsia="仿宋_GB2312" w:cs="宋体"/>
                <w:color w:val="auto"/>
                <w:sz w:val="24"/>
                <w:szCs w:val="24"/>
                <w:highlight w:val="none"/>
              </w:rPr>
            </w:pPr>
          </w:p>
        </w:tc>
        <w:tc>
          <w:tcPr>
            <w:tcW w:w="900" w:type="dxa"/>
            <w:vAlign w:val="center"/>
          </w:tcPr>
          <w:p w14:paraId="34F287DC">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center"/>
              <w:textAlignment w:val="auto"/>
              <w:rPr>
                <w:rFonts w:ascii="仿宋_GB2312" w:hAnsi="宋体" w:eastAsia="仿宋_GB2312" w:cs="宋体"/>
                <w:color w:val="auto"/>
                <w:sz w:val="24"/>
                <w:szCs w:val="24"/>
                <w:highlight w:val="none"/>
              </w:rPr>
            </w:pPr>
          </w:p>
        </w:tc>
        <w:tc>
          <w:tcPr>
            <w:tcW w:w="900" w:type="dxa"/>
            <w:vAlign w:val="center"/>
          </w:tcPr>
          <w:p w14:paraId="3AFB358B">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center"/>
              <w:textAlignment w:val="auto"/>
              <w:rPr>
                <w:rFonts w:ascii="仿宋_GB2312" w:hAnsi="宋体" w:eastAsia="仿宋_GB2312" w:cs="宋体"/>
                <w:color w:val="auto"/>
                <w:sz w:val="24"/>
                <w:szCs w:val="24"/>
                <w:highlight w:val="none"/>
              </w:rPr>
            </w:pPr>
          </w:p>
        </w:tc>
        <w:tc>
          <w:tcPr>
            <w:tcW w:w="900" w:type="dxa"/>
            <w:vAlign w:val="center"/>
          </w:tcPr>
          <w:p w14:paraId="26DC84F7">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center"/>
              <w:textAlignment w:val="auto"/>
              <w:rPr>
                <w:rFonts w:ascii="仿宋_GB2312" w:hAnsi="宋体" w:eastAsia="仿宋_GB2312" w:cs="宋体"/>
                <w:color w:val="auto"/>
                <w:sz w:val="24"/>
                <w:szCs w:val="24"/>
                <w:highlight w:val="none"/>
              </w:rPr>
            </w:pPr>
          </w:p>
        </w:tc>
        <w:tc>
          <w:tcPr>
            <w:tcW w:w="1098" w:type="dxa"/>
            <w:vAlign w:val="center"/>
          </w:tcPr>
          <w:p w14:paraId="17400D0F">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center"/>
              <w:textAlignment w:val="auto"/>
              <w:rPr>
                <w:rFonts w:ascii="仿宋_GB2312" w:hAnsi="宋体" w:eastAsia="仿宋_GB2312" w:cs="宋体"/>
                <w:color w:val="auto"/>
                <w:sz w:val="24"/>
                <w:szCs w:val="24"/>
                <w:highlight w:val="none"/>
              </w:rPr>
            </w:pPr>
          </w:p>
        </w:tc>
        <w:tc>
          <w:tcPr>
            <w:tcW w:w="1097" w:type="dxa"/>
            <w:vMerge w:val="restart"/>
            <w:vAlign w:val="center"/>
          </w:tcPr>
          <w:p w14:paraId="6F703151">
            <w:pPr>
              <w:keepNext w:val="0"/>
              <w:keepLines w:val="0"/>
              <w:pageBreakBefore w:val="0"/>
              <w:widowControl/>
              <w:kinsoku/>
              <w:wordWrap/>
              <w:overflowPunct/>
              <w:topLinePunct w:val="0"/>
              <w:autoSpaceDE/>
              <w:autoSpaceDN/>
              <w:bidi w:val="0"/>
              <w:adjustRightInd w:val="0"/>
              <w:snapToGrid w:val="0"/>
              <w:spacing w:line="574" w:lineRule="exact"/>
              <w:ind w:firstLine="482" w:firstLineChars="200"/>
              <w:jc w:val="center"/>
              <w:textAlignment w:val="auto"/>
              <w:rPr>
                <w:rFonts w:ascii="仿宋_GB2312" w:hAnsi="宋体" w:eastAsia="仿宋_GB2312" w:cs="宋体"/>
                <w:b/>
                <w:bCs/>
                <w:color w:val="auto"/>
                <w:sz w:val="24"/>
                <w:szCs w:val="24"/>
                <w:highlight w:val="none"/>
              </w:rPr>
            </w:pPr>
          </w:p>
        </w:tc>
        <w:tc>
          <w:tcPr>
            <w:tcW w:w="1098" w:type="dxa"/>
            <w:vMerge w:val="restart"/>
            <w:vAlign w:val="center"/>
          </w:tcPr>
          <w:p w14:paraId="41E1B182">
            <w:pPr>
              <w:keepNext w:val="0"/>
              <w:keepLines w:val="0"/>
              <w:pageBreakBefore w:val="0"/>
              <w:widowControl/>
              <w:kinsoku/>
              <w:wordWrap/>
              <w:overflowPunct/>
              <w:topLinePunct w:val="0"/>
              <w:autoSpaceDE/>
              <w:autoSpaceDN/>
              <w:bidi w:val="0"/>
              <w:adjustRightInd w:val="0"/>
              <w:snapToGrid w:val="0"/>
              <w:spacing w:line="574" w:lineRule="exact"/>
              <w:ind w:firstLine="482" w:firstLineChars="200"/>
              <w:jc w:val="center"/>
              <w:textAlignment w:val="auto"/>
              <w:rPr>
                <w:rFonts w:ascii="仿宋_GB2312" w:hAnsi="宋体" w:eastAsia="仿宋_GB2312" w:cs="宋体"/>
                <w:b/>
                <w:bCs/>
                <w:color w:val="auto"/>
                <w:sz w:val="24"/>
                <w:szCs w:val="24"/>
                <w:highlight w:val="none"/>
              </w:rPr>
            </w:pPr>
          </w:p>
        </w:tc>
        <w:tc>
          <w:tcPr>
            <w:tcW w:w="498" w:type="dxa"/>
            <w:vMerge w:val="restart"/>
            <w:vAlign w:val="center"/>
          </w:tcPr>
          <w:p w14:paraId="3E024E01">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left"/>
              <w:textAlignment w:val="auto"/>
              <w:rPr>
                <w:rFonts w:ascii="仿宋_GB2312" w:hAnsi="宋体" w:eastAsia="仿宋_GB2312" w:cs="宋体"/>
                <w:color w:val="auto"/>
                <w:sz w:val="24"/>
                <w:szCs w:val="24"/>
                <w:highlight w:val="none"/>
              </w:rPr>
            </w:pPr>
          </w:p>
        </w:tc>
      </w:tr>
      <w:tr w14:paraId="1BFBD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trHeight w:val="227" w:hRule="atLeast"/>
          <w:jc w:val="center"/>
        </w:trPr>
        <w:tc>
          <w:tcPr>
            <w:tcW w:w="668" w:type="dxa"/>
            <w:vMerge w:val="continue"/>
            <w:vAlign w:val="center"/>
          </w:tcPr>
          <w:p w14:paraId="620A70AD">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left"/>
              <w:textAlignment w:val="auto"/>
              <w:rPr>
                <w:rFonts w:ascii="仿宋_GB2312" w:hAnsi="宋体" w:eastAsia="仿宋_GB2312" w:cs="宋体"/>
                <w:color w:val="auto"/>
                <w:sz w:val="24"/>
                <w:szCs w:val="24"/>
                <w:highlight w:val="none"/>
              </w:rPr>
            </w:pPr>
          </w:p>
        </w:tc>
        <w:tc>
          <w:tcPr>
            <w:tcW w:w="567" w:type="dxa"/>
            <w:vAlign w:val="center"/>
          </w:tcPr>
          <w:p w14:paraId="33AFDC06">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center"/>
              <w:textAlignment w:val="auto"/>
              <w:rPr>
                <w:rFonts w:ascii="仿宋_GB2312" w:hAnsi="宋体" w:eastAsia="仿宋_GB2312" w:cs="宋体"/>
                <w:color w:val="auto"/>
                <w:sz w:val="24"/>
                <w:szCs w:val="24"/>
                <w:highlight w:val="none"/>
              </w:rPr>
            </w:pPr>
          </w:p>
        </w:tc>
        <w:tc>
          <w:tcPr>
            <w:tcW w:w="753" w:type="dxa"/>
            <w:vAlign w:val="center"/>
          </w:tcPr>
          <w:p w14:paraId="1CB0560A">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center"/>
              <w:textAlignment w:val="auto"/>
              <w:rPr>
                <w:rFonts w:ascii="仿宋_GB2312" w:hAnsi="宋体" w:eastAsia="仿宋_GB2312" w:cs="宋体"/>
                <w:color w:val="auto"/>
                <w:sz w:val="24"/>
                <w:szCs w:val="24"/>
                <w:highlight w:val="none"/>
              </w:rPr>
            </w:pPr>
          </w:p>
        </w:tc>
        <w:tc>
          <w:tcPr>
            <w:tcW w:w="532" w:type="dxa"/>
            <w:vAlign w:val="center"/>
          </w:tcPr>
          <w:p w14:paraId="7611AD5E">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center"/>
              <w:textAlignment w:val="auto"/>
              <w:rPr>
                <w:rFonts w:ascii="仿宋_GB2312" w:hAnsi="宋体" w:eastAsia="仿宋_GB2312" w:cs="宋体"/>
                <w:color w:val="auto"/>
                <w:sz w:val="24"/>
                <w:szCs w:val="24"/>
                <w:highlight w:val="none"/>
              </w:rPr>
            </w:pPr>
          </w:p>
        </w:tc>
        <w:tc>
          <w:tcPr>
            <w:tcW w:w="900" w:type="dxa"/>
            <w:vAlign w:val="center"/>
          </w:tcPr>
          <w:p w14:paraId="2A1865C9">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center"/>
              <w:textAlignment w:val="auto"/>
              <w:rPr>
                <w:rFonts w:ascii="仿宋_GB2312" w:hAnsi="宋体" w:eastAsia="仿宋_GB2312" w:cs="宋体"/>
                <w:color w:val="auto"/>
                <w:sz w:val="24"/>
                <w:szCs w:val="24"/>
                <w:highlight w:val="none"/>
              </w:rPr>
            </w:pPr>
          </w:p>
        </w:tc>
        <w:tc>
          <w:tcPr>
            <w:tcW w:w="900" w:type="dxa"/>
            <w:vAlign w:val="center"/>
          </w:tcPr>
          <w:p w14:paraId="2885DE7B">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center"/>
              <w:textAlignment w:val="auto"/>
              <w:rPr>
                <w:rFonts w:ascii="仿宋_GB2312" w:hAnsi="宋体" w:eastAsia="仿宋_GB2312" w:cs="宋体"/>
                <w:color w:val="auto"/>
                <w:sz w:val="24"/>
                <w:szCs w:val="24"/>
                <w:highlight w:val="none"/>
              </w:rPr>
            </w:pPr>
          </w:p>
        </w:tc>
        <w:tc>
          <w:tcPr>
            <w:tcW w:w="900" w:type="dxa"/>
            <w:vAlign w:val="center"/>
          </w:tcPr>
          <w:p w14:paraId="375A6197">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center"/>
              <w:textAlignment w:val="auto"/>
              <w:rPr>
                <w:rFonts w:ascii="仿宋_GB2312" w:hAnsi="宋体" w:eastAsia="仿宋_GB2312" w:cs="宋体"/>
                <w:color w:val="auto"/>
                <w:sz w:val="24"/>
                <w:szCs w:val="24"/>
                <w:highlight w:val="none"/>
              </w:rPr>
            </w:pPr>
          </w:p>
        </w:tc>
        <w:tc>
          <w:tcPr>
            <w:tcW w:w="1098" w:type="dxa"/>
            <w:vAlign w:val="center"/>
          </w:tcPr>
          <w:p w14:paraId="541D43D1">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center"/>
              <w:textAlignment w:val="auto"/>
              <w:rPr>
                <w:rFonts w:ascii="仿宋_GB2312" w:hAnsi="宋体" w:eastAsia="仿宋_GB2312" w:cs="宋体"/>
                <w:color w:val="auto"/>
                <w:sz w:val="24"/>
                <w:szCs w:val="24"/>
                <w:highlight w:val="none"/>
              </w:rPr>
            </w:pPr>
          </w:p>
        </w:tc>
        <w:tc>
          <w:tcPr>
            <w:tcW w:w="1097" w:type="dxa"/>
            <w:vMerge w:val="continue"/>
            <w:vAlign w:val="center"/>
          </w:tcPr>
          <w:p w14:paraId="72CE6292">
            <w:pPr>
              <w:keepNext w:val="0"/>
              <w:keepLines w:val="0"/>
              <w:pageBreakBefore w:val="0"/>
              <w:widowControl/>
              <w:kinsoku/>
              <w:wordWrap/>
              <w:overflowPunct/>
              <w:topLinePunct w:val="0"/>
              <w:autoSpaceDE/>
              <w:autoSpaceDN/>
              <w:bidi w:val="0"/>
              <w:adjustRightInd w:val="0"/>
              <w:snapToGrid w:val="0"/>
              <w:spacing w:line="574" w:lineRule="exact"/>
              <w:ind w:firstLine="482" w:firstLineChars="200"/>
              <w:jc w:val="left"/>
              <w:textAlignment w:val="auto"/>
              <w:rPr>
                <w:rFonts w:ascii="仿宋_GB2312" w:hAnsi="宋体" w:eastAsia="仿宋_GB2312" w:cs="宋体"/>
                <w:b/>
                <w:bCs/>
                <w:color w:val="auto"/>
                <w:sz w:val="24"/>
                <w:szCs w:val="24"/>
                <w:highlight w:val="none"/>
              </w:rPr>
            </w:pPr>
          </w:p>
        </w:tc>
        <w:tc>
          <w:tcPr>
            <w:tcW w:w="1098" w:type="dxa"/>
            <w:vMerge w:val="continue"/>
            <w:vAlign w:val="center"/>
          </w:tcPr>
          <w:p w14:paraId="1AA8B995">
            <w:pPr>
              <w:keepNext w:val="0"/>
              <w:keepLines w:val="0"/>
              <w:pageBreakBefore w:val="0"/>
              <w:widowControl/>
              <w:kinsoku/>
              <w:wordWrap/>
              <w:overflowPunct/>
              <w:topLinePunct w:val="0"/>
              <w:autoSpaceDE/>
              <w:autoSpaceDN/>
              <w:bidi w:val="0"/>
              <w:adjustRightInd w:val="0"/>
              <w:snapToGrid w:val="0"/>
              <w:spacing w:line="574" w:lineRule="exact"/>
              <w:ind w:firstLine="482" w:firstLineChars="200"/>
              <w:jc w:val="left"/>
              <w:textAlignment w:val="auto"/>
              <w:rPr>
                <w:rFonts w:ascii="仿宋_GB2312" w:hAnsi="宋体" w:eastAsia="仿宋_GB2312" w:cs="宋体"/>
                <w:b/>
                <w:bCs/>
                <w:color w:val="auto"/>
                <w:sz w:val="24"/>
                <w:szCs w:val="24"/>
                <w:highlight w:val="none"/>
              </w:rPr>
            </w:pPr>
          </w:p>
        </w:tc>
        <w:tc>
          <w:tcPr>
            <w:tcW w:w="498" w:type="dxa"/>
            <w:vMerge w:val="continue"/>
            <w:vAlign w:val="center"/>
          </w:tcPr>
          <w:p w14:paraId="3FB6154F">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left"/>
              <w:textAlignment w:val="auto"/>
              <w:rPr>
                <w:rFonts w:ascii="仿宋_GB2312" w:hAnsi="宋体" w:eastAsia="仿宋_GB2312" w:cs="宋体"/>
                <w:color w:val="auto"/>
                <w:sz w:val="24"/>
                <w:szCs w:val="24"/>
                <w:highlight w:val="none"/>
              </w:rPr>
            </w:pPr>
          </w:p>
        </w:tc>
      </w:tr>
      <w:tr w14:paraId="68549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trHeight w:val="227" w:hRule="atLeast"/>
          <w:jc w:val="center"/>
        </w:trPr>
        <w:tc>
          <w:tcPr>
            <w:tcW w:w="668" w:type="dxa"/>
            <w:vMerge w:val="continue"/>
            <w:vAlign w:val="center"/>
          </w:tcPr>
          <w:p w14:paraId="7E3BB1CA">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left"/>
              <w:textAlignment w:val="auto"/>
              <w:rPr>
                <w:rFonts w:ascii="仿宋_GB2312" w:hAnsi="宋体" w:eastAsia="仿宋_GB2312" w:cs="宋体"/>
                <w:color w:val="auto"/>
                <w:sz w:val="24"/>
                <w:szCs w:val="24"/>
                <w:highlight w:val="none"/>
              </w:rPr>
            </w:pPr>
          </w:p>
        </w:tc>
        <w:tc>
          <w:tcPr>
            <w:tcW w:w="567" w:type="dxa"/>
            <w:vAlign w:val="center"/>
          </w:tcPr>
          <w:p w14:paraId="35BEEBD5">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center"/>
              <w:textAlignment w:val="auto"/>
              <w:rPr>
                <w:rFonts w:ascii="仿宋_GB2312" w:hAnsi="宋体" w:eastAsia="仿宋_GB2312" w:cs="宋体"/>
                <w:color w:val="auto"/>
                <w:sz w:val="24"/>
                <w:szCs w:val="24"/>
                <w:highlight w:val="none"/>
              </w:rPr>
            </w:pPr>
          </w:p>
        </w:tc>
        <w:tc>
          <w:tcPr>
            <w:tcW w:w="753" w:type="dxa"/>
            <w:vAlign w:val="center"/>
          </w:tcPr>
          <w:p w14:paraId="1AE2FF34">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center"/>
              <w:textAlignment w:val="auto"/>
              <w:rPr>
                <w:rFonts w:ascii="仿宋_GB2312" w:hAnsi="宋体" w:eastAsia="仿宋_GB2312" w:cs="宋体"/>
                <w:color w:val="auto"/>
                <w:sz w:val="24"/>
                <w:szCs w:val="24"/>
                <w:highlight w:val="none"/>
              </w:rPr>
            </w:pPr>
          </w:p>
        </w:tc>
        <w:tc>
          <w:tcPr>
            <w:tcW w:w="532" w:type="dxa"/>
            <w:vAlign w:val="center"/>
          </w:tcPr>
          <w:p w14:paraId="5A9116A5">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center"/>
              <w:textAlignment w:val="auto"/>
              <w:rPr>
                <w:rFonts w:ascii="仿宋_GB2312" w:hAnsi="宋体" w:eastAsia="仿宋_GB2312" w:cs="宋体"/>
                <w:color w:val="auto"/>
                <w:sz w:val="24"/>
                <w:szCs w:val="24"/>
                <w:highlight w:val="none"/>
              </w:rPr>
            </w:pPr>
          </w:p>
        </w:tc>
        <w:tc>
          <w:tcPr>
            <w:tcW w:w="900" w:type="dxa"/>
            <w:vAlign w:val="center"/>
          </w:tcPr>
          <w:p w14:paraId="4B87C3D7">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center"/>
              <w:textAlignment w:val="auto"/>
              <w:rPr>
                <w:rFonts w:ascii="仿宋_GB2312" w:hAnsi="宋体" w:eastAsia="仿宋_GB2312" w:cs="宋体"/>
                <w:color w:val="auto"/>
                <w:sz w:val="24"/>
                <w:szCs w:val="24"/>
                <w:highlight w:val="none"/>
              </w:rPr>
            </w:pPr>
          </w:p>
        </w:tc>
        <w:tc>
          <w:tcPr>
            <w:tcW w:w="900" w:type="dxa"/>
            <w:vAlign w:val="center"/>
          </w:tcPr>
          <w:p w14:paraId="49570E4D">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center"/>
              <w:textAlignment w:val="auto"/>
              <w:rPr>
                <w:rFonts w:ascii="仿宋_GB2312" w:hAnsi="宋体" w:eastAsia="仿宋_GB2312" w:cs="宋体"/>
                <w:color w:val="auto"/>
                <w:sz w:val="24"/>
                <w:szCs w:val="24"/>
                <w:highlight w:val="none"/>
              </w:rPr>
            </w:pPr>
          </w:p>
        </w:tc>
        <w:tc>
          <w:tcPr>
            <w:tcW w:w="900" w:type="dxa"/>
            <w:vAlign w:val="center"/>
          </w:tcPr>
          <w:p w14:paraId="5736140E">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center"/>
              <w:textAlignment w:val="auto"/>
              <w:rPr>
                <w:rFonts w:ascii="仿宋_GB2312" w:hAnsi="宋体" w:eastAsia="仿宋_GB2312" w:cs="宋体"/>
                <w:color w:val="auto"/>
                <w:sz w:val="24"/>
                <w:szCs w:val="24"/>
                <w:highlight w:val="none"/>
              </w:rPr>
            </w:pPr>
          </w:p>
        </w:tc>
        <w:tc>
          <w:tcPr>
            <w:tcW w:w="1098" w:type="dxa"/>
            <w:vAlign w:val="center"/>
          </w:tcPr>
          <w:p w14:paraId="7D84B18E">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center"/>
              <w:textAlignment w:val="auto"/>
              <w:rPr>
                <w:rFonts w:ascii="仿宋_GB2312" w:hAnsi="宋体" w:eastAsia="仿宋_GB2312" w:cs="宋体"/>
                <w:color w:val="auto"/>
                <w:sz w:val="24"/>
                <w:szCs w:val="24"/>
                <w:highlight w:val="none"/>
              </w:rPr>
            </w:pPr>
          </w:p>
        </w:tc>
        <w:tc>
          <w:tcPr>
            <w:tcW w:w="1097" w:type="dxa"/>
            <w:vMerge w:val="continue"/>
            <w:vAlign w:val="center"/>
          </w:tcPr>
          <w:p w14:paraId="0D0DB223">
            <w:pPr>
              <w:keepNext w:val="0"/>
              <w:keepLines w:val="0"/>
              <w:pageBreakBefore w:val="0"/>
              <w:widowControl/>
              <w:kinsoku/>
              <w:wordWrap/>
              <w:overflowPunct/>
              <w:topLinePunct w:val="0"/>
              <w:autoSpaceDE/>
              <w:autoSpaceDN/>
              <w:bidi w:val="0"/>
              <w:adjustRightInd w:val="0"/>
              <w:snapToGrid w:val="0"/>
              <w:spacing w:line="574" w:lineRule="exact"/>
              <w:ind w:firstLine="482" w:firstLineChars="200"/>
              <w:jc w:val="left"/>
              <w:textAlignment w:val="auto"/>
              <w:rPr>
                <w:rFonts w:ascii="仿宋_GB2312" w:hAnsi="宋体" w:eastAsia="仿宋_GB2312" w:cs="宋体"/>
                <w:b/>
                <w:bCs/>
                <w:color w:val="auto"/>
                <w:sz w:val="24"/>
                <w:szCs w:val="24"/>
                <w:highlight w:val="none"/>
              </w:rPr>
            </w:pPr>
          </w:p>
        </w:tc>
        <w:tc>
          <w:tcPr>
            <w:tcW w:w="1098" w:type="dxa"/>
            <w:vMerge w:val="continue"/>
            <w:vAlign w:val="center"/>
          </w:tcPr>
          <w:p w14:paraId="108EF542">
            <w:pPr>
              <w:keepNext w:val="0"/>
              <w:keepLines w:val="0"/>
              <w:pageBreakBefore w:val="0"/>
              <w:widowControl/>
              <w:kinsoku/>
              <w:wordWrap/>
              <w:overflowPunct/>
              <w:topLinePunct w:val="0"/>
              <w:autoSpaceDE/>
              <w:autoSpaceDN/>
              <w:bidi w:val="0"/>
              <w:adjustRightInd w:val="0"/>
              <w:snapToGrid w:val="0"/>
              <w:spacing w:line="574" w:lineRule="exact"/>
              <w:ind w:firstLine="482" w:firstLineChars="200"/>
              <w:jc w:val="left"/>
              <w:textAlignment w:val="auto"/>
              <w:rPr>
                <w:rFonts w:ascii="仿宋_GB2312" w:hAnsi="宋体" w:eastAsia="仿宋_GB2312" w:cs="宋体"/>
                <w:b/>
                <w:bCs/>
                <w:color w:val="auto"/>
                <w:sz w:val="24"/>
                <w:szCs w:val="24"/>
                <w:highlight w:val="none"/>
              </w:rPr>
            </w:pPr>
          </w:p>
        </w:tc>
        <w:tc>
          <w:tcPr>
            <w:tcW w:w="498" w:type="dxa"/>
            <w:vMerge w:val="continue"/>
            <w:vAlign w:val="center"/>
          </w:tcPr>
          <w:p w14:paraId="18A82B41">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left"/>
              <w:textAlignment w:val="auto"/>
              <w:rPr>
                <w:rFonts w:ascii="仿宋_GB2312" w:hAnsi="宋体" w:eastAsia="仿宋_GB2312" w:cs="宋体"/>
                <w:color w:val="auto"/>
                <w:sz w:val="24"/>
                <w:szCs w:val="24"/>
                <w:highlight w:val="none"/>
              </w:rPr>
            </w:pPr>
          </w:p>
        </w:tc>
      </w:tr>
      <w:tr w14:paraId="585F0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trHeight w:val="227" w:hRule="atLeast"/>
          <w:jc w:val="center"/>
        </w:trPr>
        <w:tc>
          <w:tcPr>
            <w:tcW w:w="668" w:type="dxa"/>
            <w:vMerge w:val="continue"/>
            <w:vAlign w:val="center"/>
          </w:tcPr>
          <w:p w14:paraId="3FD00598">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left"/>
              <w:textAlignment w:val="auto"/>
              <w:rPr>
                <w:rFonts w:ascii="仿宋_GB2312" w:hAnsi="宋体" w:eastAsia="仿宋_GB2312" w:cs="宋体"/>
                <w:color w:val="auto"/>
                <w:sz w:val="24"/>
                <w:szCs w:val="24"/>
                <w:highlight w:val="none"/>
              </w:rPr>
            </w:pPr>
          </w:p>
        </w:tc>
        <w:tc>
          <w:tcPr>
            <w:tcW w:w="567" w:type="dxa"/>
            <w:vAlign w:val="center"/>
          </w:tcPr>
          <w:p w14:paraId="34732441">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center"/>
              <w:textAlignment w:val="auto"/>
              <w:rPr>
                <w:rFonts w:ascii="仿宋_GB2312" w:hAnsi="宋体" w:eastAsia="仿宋_GB2312" w:cs="宋体"/>
                <w:color w:val="auto"/>
                <w:sz w:val="24"/>
                <w:szCs w:val="24"/>
                <w:highlight w:val="none"/>
              </w:rPr>
            </w:pPr>
          </w:p>
        </w:tc>
        <w:tc>
          <w:tcPr>
            <w:tcW w:w="753" w:type="dxa"/>
            <w:vAlign w:val="center"/>
          </w:tcPr>
          <w:p w14:paraId="1BD8B0CD">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center"/>
              <w:textAlignment w:val="auto"/>
              <w:rPr>
                <w:rFonts w:ascii="仿宋_GB2312" w:hAnsi="宋体" w:eastAsia="仿宋_GB2312" w:cs="宋体"/>
                <w:color w:val="auto"/>
                <w:sz w:val="24"/>
                <w:szCs w:val="24"/>
                <w:highlight w:val="none"/>
              </w:rPr>
            </w:pPr>
          </w:p>
        </w:tc>
        <w:tc>
          <w:tcPr>
            <w:tcW w:w="532" w:type="dxa"/>
            <w:vAlign w:val="center"/>
          </w:tcPr>
          <w:p w14:paraId="2735FE43">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center"/>
              <w:textAlignment w:val="auto"/>
              <w:rPr>
                <w:rFonts w:ascii="仿宋_GB2312" w:hAnsi="宋体" w:eastAsia="仿宋_GB2312" w:cs="宋体"/>
                <w:color w:val="auto"/>
                <w:sz w:val="24"/>
                <w:szCs w:val="24"/>
                <w:highlight w:val="none"/>
              </w:rPr>
            </w:pPr>
          </w:p>
        </w:tc>
        <w:tc>
          <w:tcPr>
            <w:tcW w:w="900" w:type="dxa"/>
            <w:vAlign w:val="center"/>
          </w:tcPr>
          <w:p w14:paraId="0522A152">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center"/>
              <w:textAlignment w:val="auto"/>
              <w:rPr>
                <w:rFonts w:ascii="仿宋_GB2312" w:hAnsi="宋体" w:eastAsia="仿宋_GB2312" w:cs="宋体"/>
                <w:color w:val="auto"/>
                <w:sz w:val="24"/>
                <w:szCs w:val="24"/>
                <w:highlight w:val="none"/>
              </w:rPr>
            </w:pPr>
          </w:p>
        </w:tc>
        <w:tc>
          <w:tcPr>
            <w:tcW w:w="900" w:type="dxa"/>
            <w:vAlign w:val="center"/>
          </w:tcPr>
          <w:p w14:paraId="65CA7E47">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center"/>
              <w:textAlignment w:val="auto"/>
              <w:rPr>
                <w:rFonts w:ascii="仿宋_GB2312" w:hAnsi="宋体" w:eastAsia="仿宋_GB2312" w:cs="宋体"/>
                <w:color w:val="auto"/>
                <w:sz w:val="24"/>
                <w:szCs w:val="24"/>
                <w:highlight w:val="none"/>
              </w:rPr>
            </w:pPr>
          </w:p>
        </w:tc>
        <w:tc>
          <w:tcPr>
            <w:tcW w:w="900" w:type="dxa"/>
            <w:vAlign w:val="center"/>
          </w:tcPr>
          <w:p w14:paraId="6296FADE">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center"/>
              <w:textAlignment w:val="auto"/>
              <w:rPr>
                <w:rFonts w:ascii="仿宋_GB2312" w:hAnsi="宋体" w:eastAsia="仿宋_GB2312" w:cs="宋体"/>
                <w:color w:val="auto"/>
                <w:sz w:val="24"/>
                <w:szCs w:val="24"/>
                <w:highlight w:val="none"/>
              </w:rPr>
            </w:pPr>
          </w:p>
        </w:tc>
        <w:tc>
          <w:tcPr>
            <w:tcW w:w="1098" w:type="dxa"/>
            <w:vAlign w:val="center"/>
          </w:tcPr>
          <w:p w14:paraId="60DC0BAE">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center"/>
              <w:textAlignment w:val="auto"/>
              <w:rPr>
                <w:rFonts w:ascii="仿宋_GB2312" w:hAnsi="宋体" w:eastAsia="仿宋_GB2312" w:cs="宋体"/>
                <w:color w:val="auto"/>
                <w:sz w:val="24"/>
                <w:szCs w:val="24"/>
                <w:highlight w:val="none"/>
              </w:rPr>
            </w:pPr>
          </w:p>
        </w:tc>
        <w:tc>
          <w:tcPr>
            <w:tcW w:w="1097" w:type="dxa"/>
            <w:vMerge w:val="continue"/>
            <w:vAlign w:val="center"/>
          </w:tcPr>
          <w:p w14:paraId="46821594">
            <w:pPr>
              <w:keepNext w:val="0"/>
              <w:keepLines w:val="0"/>
              <w:pageBreakBefore w:val="0"/>
              <w:widowControl/>
              <w:kinsoku/>
              <w:wordWrap/>
              <w:overflowPunct/>
              <w:topLinePunct w:val="0"/>
              <w:autoSpaceDE/>
              <w:autoSpaceDN/>
              <w:bidi w:val="0"/>
              <w:adjustRightInd w:val="0"/>
              <w:snapToGrid w:val="0"/>
              <w:spacing w:line="574" w:lineRule="exact"/>
              <w:ind w:firstLine="482" w:firstLineChars="200"/>
              <w:jc w:val="left"/>
              <w:textAlignment w:val="auto"/>
              <w:rPr>
                <w:rFonts w:ascii="仿宋_GB2312" w:hAnsi="宋体" w:eastAsia="仿宋_GB2312" w:cs="宋体"/>
                <w:b/>
                <w:bCs/>
                <w:color w:val="auto"/>
                <w:sz w:val="24"/>
                <w:szCs w:val="24"/>
                <w:highlight w:val="none"/>
              </w:rPr>
            </w:pPr>
          </w:p>
        </w:tc>
        <w:tc>
          <w:tcPr>
            <w:tcW w:w="1098" w:type="dxa"/>
            <w:vMerge w:val="continue"/>
            <w:vAlign w:val="center"/>
          </w:tcPr>
          <w:p w14:paraId="44858BA8">
            <w:pPr>
              <w:keepNext w:val="0"/>
              <w:keepLines w:val="0"/>
              <w:pageBreakBefore w:val="0"/>
              <w:widowControl/>
              <w:kinsoku/>
              <w:wordWrap/>
              <w:overflowPunct/>
              <w:topLinePunct w:val="0"/>
              <w:autoSpaceDE/>
              <w:autoSpaceDN/>
              <w:bidi w:val="0"/>
              <w:adjustRightInd w:val="0"/>
              <w:snapToGrid w:val="0"/>
              <w:spacing w:line="574" w:lineRule="exact"/>
              <w:ind w:firstLine="482" w:firstLineChars="200"/>
              <w:jc w:val="left"/>
              <w:textAlignment w:val="auto"/>
              <w:rPr>
                <w:rFonts w:ascii="仿宋_GB2312" w:hAnsi="宋体" w:eastAsia="仿宋_GB2312" w:cs="宋体"/>
                <w:b/>
                <w:bCs/>
                <w:color w:val="auto"/>
                <w:sz w:val="24"/>
                <w:szCs w:val="24"/>
                <w:highlight w:val="none"/>
              </w:rPr>
            </w:pPr>
          </w:p>
        </w:tc>
        <w:tc>
          <w:tcPr>
            <w:tcW w:w="498" w:type="dxa"/>
            <w:vMerge w:val="continue"/>
            <w:vAlign w:val="center"/>
          </w:tcPr>
          <w:p w14:paraId="7F6D6DAE">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left"/>
              <w:textAlignment w:val="auto"/>
              <w:rPr>
                <w:rFonts w:ascii="仿宋_GB2312" w:hAnsi="宋体" w:eastAsia="仿宋_GB2312" w:cs="宋体"/>
                <w:color w:val="auto"/>
                <w:sz w:val="24"/>
                <w:szCs w:val="24"/>
                <w:highlight w:val="none"/>
              </w:rPr>
            </w:pPr>
          </w:p>
        </w:tc>
      </w:tr>
      <w:tr w14:paraId="363AF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trHeight w:val="227" w:hRule="atLeast"/>
          <w:jc w:val="center"/>
        </w:trPr>
        <w:tc>
          <w:tcPr>
            <w:tcW w:w="1988" w:type="dxa"/>
            <w:gridSpan w:val="3"/>
            <w:tcBorders>
              <w:bottom w:val="single" w:color="auto" w:sz="4" w:space="0"/>
            </w:tcBorders>
            <w:vAlign w:val="center"/>
          </w:tcPr>
          <w:p w14:paraId="3C4903FA">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center"/>
              <w:textAlignment w:val="auto"/>
              <w:rPr>
                <w:rFonts w:ascii="仿宋_GB2312" w:hAnsi="宋体" w:eastAsia="仿宋_GB2312" w:cs="宋体"/>
                <w:color w:val="auto"/>
                <w:sz w:val="24"/>
                <w:szCs w:val="24"/>
                <w:highlight w:val="none"/>
              </w:rPr>
            </w:pPr>
            <w:r>
              <w:rPr>
                <w:rFonts w:hint="eastAsia" w:ascii="仿宋_GB2312" w:hAnsi="宋体" w:eastAsia="仿宋_GB2312" w:cs="宋体"/>
                <w:bCs/>
                <w:color w:val="auto"/>
                <w:sz w:val="24"/>
                <w:szCs w:val="24"/>
                <w:highlight w:val="none"/>
              </w:rPr>
              <w:t>每月管理成本费用合计(元/月)</w:t>
            </w:r>
          </w:p>
        </w:tc>
        <w:tc>
          <w:tcPr>
            <w:tcW w:w="7023" w:type="dxa"/>
            <w:gridSpan w:val="8"/>
            <w:tcBorders>
              <w:bottom w:val="single" w:color="auto" w:sz="4" w:space="0"/>
            </w:tcBorders>
            <w:vAlign w:val="center"/>
          </w:tcPr>
          <w:p w14:paraId="65E918E7">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left"/>
              <w:textAlignment w:val="auto"/>
              <w:rPr>
                <w:rFonts w:ascii="仿宋_GB2312" w:hAnsi="宋体" w:eastAsia="仿宋_GB2312" w:cs="宋体"/>
                <w:color w:val="auto"/>
                <w:sz w:val="24"/>
                <w:szCs w:val="24"/>
                <w:highlight w:val="none"/>
              </w:rPr>
            </w:pPr>
          </w:p>
        </w:tc>
      </w:tr>
      <w:tr w14:paraId="114D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trHeight w:val="227" w:hRule="atLeast"/>
          <w:jc w:val="center"/>
        </w:trPr>
        <w:tc>
          <w:tcPr>
            <w:tcW w:w="1988" w:type="dxa"/>
            <w:gridSpan w:val="3"/>
            <w:tcBorders>
              <w:top w:val="single" w:color="auto" w:sz="4" w:space="0"/>
              <w:left w:val="single" w:color="auto" w:sz="4" w:space="0"/>
              <w:bottom w:val="double" w:color="auto" w:sz="4" w:space="0"/>
              <w:right w:val="single" w:color="auto" w:sz="4" w:space="0"/>
            </w:tcBorders>
            <w:vAlign w:val="center"/>
          </w:tcPr>
          <w:p w14:paraId="0039038E">
            <w:pPr>
              <w:keepNext w:val="0"/>
              <w:keepLines w:val="0"/>
              <w:pageBreakBefore w:val="0"/>
              <w:kinsoku/>
              <w:wordWrap/>
              <w:overflowPunct/>
              <w:topLinePunct w:val="0"/>
              <w:autoSpaceDE/>
              <w:autoSpaceDN/>
              <w:bidi w:val="0"/>
              <w:adjustRightInd w:val="0"/>
              <w:snapToGrid w:val="0"/>
              <w:spacing w:line="574" w:lineRule="exact"/>
              <w:ind w:firstLine="480" w:firstLineChars="200"/>
              <w:jc w:val="center"/>
              <w:textAlignment w:val="auto"/>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管理酬金B%</w:t>
            </w:r>
          </w:p>
          <w:p w14:paraId="505191D2">
            <w:pPr>
              <w:keepNext w:val="0"/>
              <w:keepLines w:val="0"/>
              <w:pageBreakBefore w:val="0"/>
              <w:kinsoku/>
              <w:wordWrap/>
              <w:overflowPunct/>
              <w:topLinePunct w:val="0"/>
              <w:autoSpaceDE/>
              <w:autoSpaceDN/>
              <w:bidi w:val="0"/>
              <w:adjustRightInd w:val="0"/>
              <w:snapToGrid w:val="0"/>
              <w:spacing w:line="574" w:lineRule="exact"/>
              <w:ind w:firstLine="480" w:firstLineChars="200"/>
              <w:jc w:val="center"/>
              <w:textAlignment w:val="auto"/>
              <w:rPr>
                <w:rFonts w:ascii="仿宋_GB2312" w:hAnsi="宋体" w:eastAsia="仿宋_GB2312" w:cs="宋体"/>
                <w:bCs/>
                <w:color w:val="auto"/>
                <w:sz w:val="24"/>
                <w:szCs w:val="24"/>
                <w:highlight w:val="none"/>
              </w:rPr>
            </w:pPr>
            <w:r>
              <w:rPr>
                <w:rFonts w:hint="eastAsia" w:ascii="仿宋_GB2312" w:hAnsi="宋体" w:eastAsia="仿宋_GB2312" w:cs="宋体"/>
                <w:color w:val="auto"/>
                <w:sz w:val="24"/>
                <w:szCs w:val="24"/>
                <w:highlight w:val="none"/>
              </w:rPr>
              <w:t>（</w:t>
            </w:r>
            <w:r>
              <w:rPr>
                <w:rFonts w:hint="eastAsia" w:ascii="仿宋_GB2312" w:hAnsi="宋体" w:eastAsia="仿宋_GB2312" w:cs="宋体"/>
                <w:bCs/>
                <w:color w:val="auto"/>
                <w:sz w:val="24"/>
                <w:szCs w:val="24"/>
                <w:highlight w:val="none"/>
              </w:rPr>
              <w:t>元/月</w:t>
            </w:r>
            <w:r>
              <w:rPr>
                <w:rFonts w:hint="eastAsia" w:ascii="仿宋_GB2312" w:hAnsi="宋体" w:eastAsia="仿宋_GB2312" w:cs="宋体"/>
                <w:color w:val="auto"/>
                <w:sz w:val="24"/>
                <w:szCs w:val="24"/>
                <w:highlight w:val="none"/>
              </w:rPr>
              <w:t>）</w:t>
            </w:r>
          </w:p>
        </w:tc>
        <w:tc>
          <w:tcPr>
            <w:tcW w:w="7023" w:type="dxa"/>
            <w:gridSpan w:val="8"/>
            <w:tcBorders>
              <w:top w:val="single" w:color="auto" w:sz="4" w:space="0"/>
              <w:left w:val="single" w:color="auto" w:sz="4" w:space="0"/>
              <w:bottom w:val="double" w:color="auto" w:sz="4" w:space="0"/>
              <w:right w:val="single" w:color="auto" w:sz="4" w:space="0"/>
            </w:tcBorders>
            <w:vAlign w:val="center"/>
          </w:tcPr>
          <w:p w14:paraId="0B626926">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left"/>
              <w:textAlignment w:val="auto"/>
              <w:rPr>
                <w:rFonts w:ascii="仿宋_GB2312" w:hAnsi="宋体" w:eastAsia="仿宋_GB2312" w:cs="宋体"/>
                <w:color w:val="auto"/>
                <w:sz w:val="24"/>
                <w:szCs w:val="24"/>
                <w:highlight w:val="none"/>
              </w:rPr>
            </w:pPr>
          </w:p>
        </w:tc>
      </w:tr>
      <w:tr w14:paraId="38F75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trHeight w:val="227" w:hRule="atLeast"/>
          <w:jc w:val="center"/>
        </w:trPr>
        <w:tc>
          <w:tcPr>
            <w:tcW w:w="1988" w:type="dxa"/>
            <w:gridSpan w:val="3"/>
            <w:tcBorders>
              <w:top w:val="double" w:color="auto" w:sz="4" w:space="0"/>
              <w:bottom w:val="double" w:color="auto" w:sz="4" w:space="0"/>
            </w:tcBorders>
            <w:vAlign w:val="center"/>
          </w:tcPr>
          <w:p w14:paraId="38E30501">
            <w:pPr>
              <w:keepNext w:val="0"/>
              <w:keepLines w:val="0"/>
              <w:pageBreakBefore w:val="0"/>
              <w:widowControl/>
              <w:kinsoku/>
              <w:wordWrap/>
              <w:overflowPunct/>
              <w:topLinePunct w:val="0"/>
              <w:autoSpaceDE/>
              <w:autoSpaceDN/>
              <w:bidi w:val="0"/>
              <w:adjustRightInd w:val="0"/>
              <w:snapToGrid w:val="0"/>
              <w:spacing w:line="574" w:lineRule="exact"/>
              <w:ind w:firstLine="482" w:firstLineChars="200"/>
              <w:jc w:val="center"/>
              <w:textAlignment w:val="auto"/>
              <w:rPr>
                <w:rFonts w:ascii="仿宋_GB2312" w:hAnsi="宋体" w:eastAsia="仿宋_GB2312" w:cs="宋体"/>
                <w:color w:val="auto"/>
                <w:sz w:val="24"/>
                <w:szCs w:val="24"/>
                <w:highlight w:val="none"/>
              </w:rPr>
            </w:pPr>
            <w:r>
              <w:rPr>
                <w:rFonts w:hint="eastAsia" w:ascii="仿宋_GB2312" w:hAnsi="宋体" w:eastAsia="仿宋_GB2312" w:cs="宋体"/>
                <w:b/>
                <w:color w:val="auto"/>
                <w:sz w:val="24"/>
                <w:szCs w:val="24"/>
                <w:highlight w:val="none"/>
              </w:rPr>
              <w:t>基本费用年度合计(元/年)</w:t>
            </w:r>
          </w:p>
        </w:tc>
        <w:tc>
          <w:tcPr>
            <w:tcW w:w="7023" w:type="dxa"/>
            <w:gridSpan w:val="8"/>
            <w:tcBorders>
              <w:top w:val="double" w:color="auto" w:sz="4" w:space="0"/>
              <w:bottom w:val="double" w:color="auto" w:sz="4" w:space="0"/>
            </w:tcBorders>
            <w:vAlign w:val="center"/>
          </w:tcPr>
          <w:p w14:paraId="5928AECE">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left"/>
              <w:textAlignment w:val="auto"/>
              <w:rPr>
                <w:rFonts w:ascii="仿宋_GB2312" w:hAnsi="宋体" w:eastAsia="仿宋_GB2312" w:cs="宋体"/>
                <w:color w:val="auto"/>
                <w:sz w:val="24"/>
                <w:szCs w:val="24"/>
                <w:highlight w:val="none"/>
              </w:rPr>
            </w:pPr>
          </w:p>
        </w:tc>
      </w:tr>
      <w:tr w14:paraId="72714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trHeight w:val="340" w:hRule="atLeast"/>
          <w:jc w:val="center"/>
        </w:trPr>
        <w:tc>
          <w:tcPr>
            <w:tcW w:w="9011" w:type="dxa"/>
            <w:gridSpan w:val="11"/>
            <w:tcBorders>
              <w:top w:val="double" w:color="auto" w:sz="4" w:space="0"/>
              <w:bottom w:val="double" w:color="auto" w:sz="4" w:space="0"/>
            </w:tcBorders>
            <w:vAlign w:val="center"/>
          </w:tcPr>
          <w:p w14:paraId="3722AE5F">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left"/>
              <w:textAlignment w:val="auto"/>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其他服务内容1：</w:t>
            </w:r>
            <w:r>
              <w:rPr>
                <w:rFonts w:hint="eastAsia" w:ascii="仿宋_GB2312" w:hAnsi="宋体" w:eastAsia="仿宋_GB2312" w:cs="宋体"/>
                <w:color w:val="auto"/>
                <w:sz w:val="24"/>
                <w:szCs w:val="24"/>
                <w:highlight w:val="none"/>
                <w:u w:val="single"/>
              </w:rPr>
              <w:t>……</w:t>
            </w:r>
            <w:r>
              <w:rPr>
                <w:rFonts w:hint="eastAsia" w:ascii="仿宋_GB2312" w:hAnsi="宋体" w:eastAsia="仿宋_GB2312" w:cs="宋体"/>
                <w:color w:val="auto"/>
                <w:sz w:val="24"/>
                <w:szCs w:val="24"/>
                <w:highlight w:val="none"/>
              </w:rPr>
              <w:t>，费用合计：人民币元/年</w:t>
            </w:r>
          </w:p>
          <w:p w14:paraId="6AE2D7CB">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left"/>
              <w:textAlignment w:val="auto"/>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其他服务内容2：</w:t>
            </w:r>
            <w:r>
              <w:rPr>
                <w:rFonts w:hint="eastAsia" w:ascii="仿宋_GB2312" w:hAnsi="宋体" w:eastAsia="仿宋_GB2312" w:cs="宋体"/>
                <w:color w:val="auto"/>
                <w:sz w:val="24"/>
                <w:szCs w:val="24"/>
                <w:highlight w:val="none"/>
                <w:u w:val="single"/>
              </w:rPr>
              <w:t>……</w:t>
            </w:r>
            <w:r>
              <w:rPr>
                <w:rFonts w:hint="eastAsia" w:ascii="仿宋_GB2312" w:hAnsi="宋体" w:eastAsia="仿宋_GB2312" w:cs="宋体"/>
                <w:color w:val="auto"/>
                <w:sz w:val="24"/>
                <w:szCs w:val="24"/>
                <w:highlight w:val="none"/>
              </w:rPr>
              <w:t>，费用合计：人民币元/年</w:t>
            </w:r>
          </w:p>
          <w:p w14:paraId="0414CC53">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left"/>
              <w:textAlignment w:val="auto"/>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其他服务内容3：</w:t>
            </w:r>
            <w:r>
              <w:rPr>
                <w:rFonts w:hint="eastAsia" w:ascii="仿宋_GB2312" w:hAnsi="宋体" w:eastAsia="仿宋_GB2312" w:cs="宋体"/>
                <w:color w:val="auto"/>
                <w:sz w:val="24"/>
                <w:szCs w:val="24"/>
                <w:highlight w:val="none"/>
                <w:u w:val="single"/>
              </w:rPr>
              <w:t>……</w:t>
            </w:r>
            <w:r>
              <w:rPr>
                <w:rFonts w:hint="eastAsia" w:ascii="仿宋_GB2312" w:hAnsi="宋体" w:eastAsia="仿宋_GB2312" w:cs="宋体"/>
                <w:color w:val="auto"/>
                <w:sz w:val="24"/>
                <w:szCs w:val="24"/>
                <w:highlight w:val="none"/>
              </w:rPr>
              <w:t>，费用合计：人民币元/年</w:t>
            </w:r>
          </w:p>
          <w:p w14:paraId="28B713A0">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left"/>
              <w:textAlignment w:val="auto"/>
              <w:rPr>
                <w:rFonts w:ascii="仿宋_GB2312" w:hAnsi="宋体" w:eastAsia="仿宋_GB2312" w:cs="宋体"/>
                <w:color w:val="auto"/>
                <w:sz w:val="24"/>
                <w:szCs w:val="24"/>
                <w:highlight w:val="none"/>
              </w:rPr>
            </w:pPr>
            <w:r>
              <w:rPr>
                <w:rFonts w:hint="eastAsia" w:ascii="仿宋_GB2312" w:hAnsi="宋体" w:eastAsia="仿宋_GB2312" w:cs="宋体"/>
                <w:color w:val="auto"/>
                <w:sz w:val="24"/>
                <w:szCs w:val="24"/>
                <w:highlight w:val="none"/>
              </w:rPr>
              <w:t>……</w:t>
            </w:r>
          </w:p>
          <w:p w14:paraId="5F4372E3">
            <w:pPr>
              <w:keepNext w:val="0"/>
              <w:keepLines w:val="0"/>
              <w:pageBreakBefore w:val="0"/>
              <w:widowControl/>
              <w:kinsoku/>
              <w:wordWrap/>
              <w:overflowPunct/>
              <w:topLinePunct w:val="0"/>
              <w:autoSpaceDE/>
              <w:autoSpaceDN/>
              <w:bidi w:val="0"/>
              <w:adjustRightInd w:val="0"/>
              <w:snapToGrid w:val="0"/>
              <w:spacing w:line="574" w:lineRule="exact"/>
              <w:ind w:firstLine="482" w:firstLineChars="200"/>
              <w:jc w:val="left"/>
              <w:textAlignment w:val="auto"/>
              <w:rPr>
                <w:rFonts w:ascii="仿宋_GB2312" w:hAnsi="宋体" w:eastAsia="仿宋_GB2312" w:cs="宋体"/>
                <w:color w:val="auto"/>
                <w:sz w:val="24"/>
                <w:szCs w:val="24"/>
                <w:highlight w:val="none"/>
              </w:rPr>
            </w:pPr>
            <w:r>
              <w:rPr>
                <w:rFonts w:hint="eastAsia" w:ascii="仿宋_GB2312" w:hAnsi="宋体" w:eastAsia="仿宋_GB2312" w:cs="宋体"/>
                <w:b/>
                <w:color w:val="auto"/>
                <w:sz w:val="24"/>
                <w:szCs w:val="24"/>
                <w:highlight w:val="none"/>
              </w:rPr>
              <w:t>各项其他服务内容费用合计：</w:t>
            </w:r>
            <w:r>
              <w:rPr>
                <w:rFonts w:hint="eastAsia" w:ascii="仿宋_GB2312" w:hAnsi="宋体" w:eastAsia="仿宋_GB2312" w:cs="宋体"/>
                <w:color w:val="auto"/>
                <w:sz w:val="24"/>
                <w:szCs w:val="24"/>
                <w:highlight w:val="none"/>
              </w:rPr>
              <w:t>人民币元/年</w:t>
            </w:r>
            <w:r>
              <w:rPr>
                <w:rStyle w:val="11"/>
                <w:rFonts w:ascii="仿宋_GB2312" w:hAnsi="宋体" w:eastAsia="仿宋_GB2312" w:cs="宋体"/>
                <w:color w:val="auto"/>
                <w:sz w:val="24"/>
                <w:szCs w:val="24"/>
                <w:highlight w:val="none"/>
              </w:rPr>
              <w:footnoteReference w:id="0"/>
            </w:r>
          </w:p>
        </w:tc>
      </w:tr>
      <w:tr w14:paraId="5A08C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28" w:type="dxa"/>
            <w:bottom w:w="85" w:type="dxa"/>
            <w:right w:w="28" w:type="dxa"/>
          </w:tblCellMar>
        </w:tblPrEx>
        <w:trPr>
          <w:trHeight w:val="340" w:hRule="atLeast"/>
          <w:jc w:val="center"/>
        </w:trPr>
        <w:tc>
          <w:tcPr>
            <w:tcW w:w="1988" w:type="dxa"/>
            <w:gridSpan w:val="3"/>
            <w:tcBorders>
              <w:top w:val="double" w:color="auto" w:sz="4" w:space="0"/>
              <w:bottom w:val="double" w:color="auto" w:sz="4" w:space="0"/>
            </w:tcBorders>
            <w:vAlign w:val="center"/>
          </w:tcPr>
          <w:p w14:paraId="63FE956A">
            <w:pPr>
              <w:keepNext w:val="0"/>
              <w:keepLines w:val="0"/>
              <w:pageBreakBefore w:val="0"/>
              <w:widowControl/>
              <w:kinsoku/>
              <w:wordWrap/>
              <w:overflowPunct/>
              <w:topLinePunct w:val="0"/>
              <w:autoSpaceDE/>
              <w:autoSpaceDN/>
              <w:bidi w:val="0"/>
              <w:adjustRightInd w:val="0"/>
              <w:snapToGrid w:val="0"/>
              <w:spacing w:line="574" w:lineRule="exact"/>
              <w:ind w:firstLine="482" w:firstLineChars="200"/>
              <w:jc w:val="center"/>
              <w:textAlignment w:val="auto"/>
              <w:rPr>
                <w:rFonts w:ascii="仿宋_GB2312" w:hAnsi="宋体" w:eastAsia="仿宋_GB2312" w:cs="宋体"/>
                <w:color w:val="auto"/>
                <w:sz w:val="24"/>
                <w:szCs w:val="24"/>
                <w:highlight w:val="none"/>
              </w:rPr>
            </w:pPr>
            <w:r>
              <w:rPr>
                <w:rFonts w:hint="eastAsia" w:ascii="仿宋_GB2312" w:hAnsi="宋体" w:eastAsia="仿宋_GB2312" w:cs="宋体"/>
                <w:b/>
                <w:bCs/>
                <w:color w:val="auto"/>
                <w:sz w:val="24"/>
                <w:szCs w:val="24"/>
                <w:highlight w:val="none"/>
              </w:rPr>
              <w:t>每年报价</w:t>
            </w:r>
          </w:p>
        </w:tc>
        <w:tc>
          <w:tcPr>
            <w:tcW w:w="7023" w:type="dxa"/>
            <w:gridSpan w:val="8"/>
            <w:tcBorders>
              <w:top w:val="double" w:color="auto" w:sz="4" w:space="0"/>
              <w:bottom w:val="double" w:color="auto" w:sz="4" w:space="0"/>
            </w:tcBorders>
            <w:vAlign w:val="center"/>
          </w:tcPr>
          <w:p w14:paraId="7C12A7D7">
            <w:pPr>
              <w:keepNext w:val="0"/>
              <w:keepLines w:val="0"/>
              <w:pageBreakBefore w:val="0"/>
              <w:widowControl/>
              <w:kinsoku/>
              <w:wordWrap/>
              <w:overflowPunct/>
              <w:topLinePunct w:val="0"/>
              <w:autoSpaceDE/>
              <w:autoSpaceDN/>
              <w:bidi w:val="0"/>
              <w:adjustRightInd w:val="0"/>
              <w:snapToGrid w:val="0"/>
              <w:spacing w:line="574" w:lineRule="exact"/>
              <w:ind w:firstLine="480" w:firstLineChars="200"/>
              <w:jc w:val="left"/>
              <w:textAlignment w:val="auto"/>
              <w:rPr>
                <w:rFonts w:ascii="仿宋_GB2312" w:hAnsi="宋体" w:eastAsia="仿宋_GB2312" w:cs="宋体"/>
                <w:b/>
                <w:color w:val="auto"/>
                <w:sz w:val="24"/>
                <w:szCs w:val="24"/>
                <w:highlight w:val="none"/>
              </w:rPr>
            </w:pPr>
            <w:r>
              <w:rPr>
                <w:rFonts w:hint="eastAsia" w:ascii="仿宋_GB2312" w:hAnsi="宋体" w:eastAsia="仿宋_GB2312" w:cs="宋体"/>
                <w:color w:val="auto"/>
                <w:sz w:val="24"/>
                <w:szCs w:val="24"/>
                <w:highlight w:val="none"/>
              </w:rPr>
              <w:t>人民币</w:t>
            </w:r>
            <w:r>
              <w:rPr>
                <w:rFonts w:hint="eastAsia" w:ascii="仿宋_GB2312" w:hAnsi="宋体" w:eastAsia="仿宋_GB2312" w:cs="宋体"/>
                <w:color w:val="auto"/>
                <w:sz w:val="24"/>
                <w:szCs w:val="24"/>
                <w:highlight w:val="none"/>
                <w:u w:val="single"/>
              </w:rPr>
              <w:t>00,000,000.00</w:t>
            </w:r>
            <w:r>
              <w:rPr>
                <w:rFonts w:hint="eastAsia" w:ascii="仿宋_GB2312" w:hAnsi="宋体" w:eastAsia="仿宋_GB2312" w:cs="宋体"/>
                <w:color w:val="auto"/>
                <w:sz w:val="24"/>
                <w:szCs w:val="24"/>
                <w:highlight w:val="none"/>
              </w:rPr>
              <w:t>元/年</w:t>
            </w:r>
          </w:p>
        </w:tc>
      </w:tr>
    </w:tbl>
    <w:p w14:paraId="6FFEBCDC">
      <w:pPr>
        <w:keepNext w:val="0"/>
        <w:keepLines w:val="0"/>
        <w:pageBreakBefore w:val="0"/>
        <w:kinsoku/>
        <w:wordWrap/>
        <w:overflowPunct/>
        <w:topLinePunct w:val="0"/>
        <w:autoSpaceDE/>
        <w:autoSpaceDN/>
        <w:bidi w:val="0"/>
        <w:spacing w:line="574" w:lineRule="exact"/>
        <w:ind w:firstLine="640" w:firstLineChars="200"/>
        <w:textAlignment w:val="auto"/>
        <w:rPr>
          <w:rFonts w:hint="eastAsia" w:ascii="仿宋_GB2312" w:hAnsi="仿宋_GB2312" w:eastAsia="仿宋_GB2312" w:cs="仿宋_GB2312"/>
          <w:color w:val="auto"/>
          <w:sz w:val="32"/>
          <w:szCs w:val="32"/>
          <w:lang w:val="en-US" w:eastAsia="zh-CN"/>
        </w:rPr>
      </w:pPr>
    </w:p>
    <w:p w14:paraId="63E231A8">
      <w:pPr>
        <w:pStyle w:val="2"/>
        <w:keepNext w:val="0"/>
        <w:keepLines w:val="0"/>
        <w:pageBreakBefore w:val="0"/>
        <w:kinsoku/>
        <w:wordWrap/>
        <w:overflowPunct/>
        <w:topLinePunct w:val="0"/>
        <w:autoSpaceDE/>
        <w:autoSpaceDN/>
        <w:bidi w:val="0"/>
        <w:spacing w:line="574" w:lineRule="exact"/>
        <w:ind w:firstLine="640" w:firstLineChars="200"/>
        <w:textAlignment w:val="auto"/>
        <w:rPr>
          <w:rFonts w:hint="eastAsia" w:ascii="仿宋_GB2312" w:hAnsi="仿宋_GB2312" w:eastAsia="仿宋_GB2312" w:cs="仿宋_GB2312"/>
          <w:color w:val="auto"/>
          <w:sz w:val="32"/>
          <w:szCs w:val="32"/>
          <w:lang w:val="en-US" w:eastAsia="zh-CN"/>
        </w:rPr>
      </w:pPr>
    </w:p>
    <w:p w14:paraId="4EC5B6CD">
      <w:pPr>
        <w:keepNext w:val="0"/>
        <w:keepLines w:val="0"/>
        <w:pageBreakBefore w:val="0"/>
        <w:kinsoku/>
        <w:wordWrap/>
        <w:overflowPunct/>
        <w:topLinePunct w:val="0"/>
        <w:autoSpaceDE/>
        <w:autoSpaceDN/>
        <w:bidi w:val="0"/>
        <w:spacing w:line="574" w:lineRule="exact"/>
        <w:ind w:firstLine="640" w:firstLineChars="200"/>
        <w:textAlignment w:val="auto"/>
        <w:rPr>
          <w:rFonts w:hint="eastAsia" w:ascii="仿宋_GB2312" w:hAnsi="仿宋_GB2312" w:eastAsia="仿宋_GB2312" w:cs="仿宋_GB2312"/>
          <w:color w:val="auto"/>
          <w:sz w:val="32"/>
          <w:szCs w:val="32"/>
          <w:lang w:val="en-US" w:eastAsia="zh-CN"/>
        </w:rPr>
      </w:pPr>
    </w:p>
    <w:p w14:paraId="7D728C53">
      <w:pPr>
        <w:pStyle w:val="2"/>
        <w:keepNext w:val="0"/>
        <w:keepLines w:val="0"/>
        <w:pageBreakBefore w:val="0"/>
        <w:kinsoku/>
        <w:wordWrap/>
        <w:overflowPunct/>
        <w:topLinePunct w:val="0"/>
        <w:autoSpaceDE/>
        <w:autoSpaceDN/>
        <w:bidi w:val="0"/>
        <w:spacing w:line="574" w:lineRule="exact"/>
        <w:ind w:firstLine="640" w:firstLineChars="200"/>
        <w:textAlignment w:val="auto"/>
        <w:rPr>
          <w:rFonts w:hint="eastAsia" w:ascii="仿宋_GB2312" w:hAnsi="仿宋_GB2312" w:eastAsia="仿宋_GB2312" w:cs="仿宋_GB2312"/>
          <w:color w:val="auto"/>
          <w:sz w:val="32"/>
          <w:szCs w:val="32"/>
          <w:lang w:val="en-US" w:eastAsia="zh-CN"/>
        </w:rPr>
      </w:pPr>
    </w:p>
    <w:p w14:paraId="57636C6E">
      <w:pPr>
        <w:keepNext w:val="0"/>
        <w:keepLines w:val="0"/>
        <w:pageBreakBefore w:val="0"/>
        <w:kinsoku/>
        <w:wordWrap/>
        <w:overflowPunct/>
        <w:topLinePunct w:val="0"/>
        <w:autoSpaceDE/>
        <w:autoSpaceDN/>
        <w:bidi w:val="0"/>
        <w:spacing w:line="574" w:lineRule="exact"/>
        <w:ind w:firstLine="640" w:firstLineChars="200"/>
        <w:textAlignment w:val="auto"/>
        <w:rPr>
          <w:rFonts w:hint="eastAsia" w:ascii="仿宋_GB2312" w:hAnsi="仿宋_GB2312" w:eastAsia="仿宋_GB2312" w:cs="仿宋_GB2312"/>
          <w:color w:val="auto"/>
          <w:sz w:val="32"/>
          <w:szCs w:val="32"/>
          <w:lang w:val="en-US" w:eastAsia="zh-CN"/>
        </w:rPr>
      </w:pPr>
    </w:p>
    <w:p w14:paraId="39D49BAC">
      <w:pPr>
        <w:pStyle w:val="2"/>
        <w:keepNext w:val="0"/>
        <w:keepLines w:val="0"/>
        <w:pageBreakBefore w:val="0"/>
        <w:kinsoku/>
        <w:wordWrap/>
        <w:overflowPunct/>
        <w:topLinePunct w:val="0"/>
        <w:autoSpaceDE/>
        <w:autoSpaceDN/>
        <w:bidi w:val="0"/>
        <w:spacing w:line="574" w:lineRule="exact"/>
        <w:ind w:firstLine="420" w:firstLineChars="200"/>
        <w:textAlignment w:val="auto"/>
        <w:rPr>
          <w:rFonts w:hint="eastAsia"/>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4B67178B">
      <w:pPr>
        <w:pStyle w:val="5"/>
        <w:rPr>
          <w:rFonts w:asciiTheme="minorEastAsia" w:hAnsiTheme="minorEastAsia" w:eastAsiaTheme="minorEastAsi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0D32F"/>
    <w:multiLevelType w:val="singleLevel"/>
    <w:tmpl w:val="5A30D32F"/>
    <w:lvl w:ilvl="0" w:tentative="0">
      <w:start w:val="1"/>
      <w:numFmt w:val="chineseCounting"/>
      <w:suff w:val="nothing"/>
      <w:lvlText w:val="%1、"/>
      <w:lvlJc w:val="left"/>
    </w:lvl>
  </w:abstractNum>
  <w:abstractNum w:abstractNumId="1">
    <w:nsid w:val="5A30F95B"/>
    <w:multiLevelType w:val="singleLevel"/>
    <w:tmpl w:val="5A30F95B"/>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yNzZhMzM4Yzc3NWM0Yzk0MWFjOTM1Njc4ZDU3YjgifQ=="/>
    <w:docVar w:name="KSO_WPS_MARK_KEY" w:val="d65cb1d9-3b51-480c-a1cf-14d7800e6ab4"/>
  </w:docVars>
  <w:rsids>
    <w:rsidRoot w:val="73F15423"/>
    <w:rsid w:val="00502791"/>
    <w:rsid w:val="01701259"/>
    <w:rsid w:val="01CA095E"/>
    <w:rsid w:val="0300486E"/>
    <w:rsid w:val="03157332"/>
    <w:rsid w:val="03FA0DB2"/>
    <w:rsid w:val="04361597"/>
    <w:rsid w:val="06426EAD"/>
    <w:rsid w:val="066D0A9E"/>
    <w:rsid w:val="074E1B6E"/>
    <w:rsid w:val="0798121E"/>
    <w:rsid w:val="0B167FC9"/>
    <w:rsid w:val="0B8D166F"/>
    <w:rsid w:val="0B8F1730"/>
    <w:rsid w:val="0EB60DF8"/>
    <w:rsid w:val="0FD51BE7"/>
    <w:rsid w:val="132518D8"/>
    <w:rsid w:val="14120E54"/>
    <w:rsid w:val="18677707"/>
    <w:rsid w:val="192E6216"/>
    <w:rsid w:val="198A7DC7"/>
    <w:rsid w:val="1A0D433A"/>
    <w:rsid w:val="1B6D5787"/>
    <w:rsid w:val="1C6804CD"/>
    <w:rsid w:val="1D4313A1"/>
    <w:rsid w:val="1E8F3E9A"/>
    <w:rsid w:val="1F8B0DA1"/>
    <w:rsid w:val="205C7FDB"/>
    <w:rsid w:val="20B624E6"/>
    <w:rsid w:val="20F326ED"/>
    <w:rsid w:val="234C23C1"/>
    <w:rsid w:val="26AE73B2"/>
    <w:rsid w:val="2AFB44E8"/>
    <w:rsid w:val="2B223DD3"/>
    <w:rsid w:val="2B4E4BD3"/>
    <w:rsid w:val="2C486527"/>
    <w:rsid w:val="2C4C6D94"/>
    <w:rsid w:val="2D7A4CBF"/>
    <w:rsid w:val="2D883D48"/>
    <w:rsid w:val="2EC45F92"/>
    <w:rsid w:val="32881611"/>
    <w:rsid w:val="328B5C1D"/>
    <w:rsid w:val="33AF6BA4"/>
    <w:rsid w:val="33D8644F"/>
    <w:rsid w:val="3424521F"/>
    <w:rsid w:val="35C327F2"/>
    <w:rsid w:val="3625479C"/>
    <w:rsid w:val="362D7599"/>
    <w:rsid w:val="36AF427D"/>
    <w:rsid w:val="37B04EAC"/>
    <w:rsid w:val="3B156BE8"/>
    <w:rsid w:val="3B2C3CD3"/>
    <w:rsid w:val="3B6B577F"/>
    <w:rsid w:val="3D1C1771"/>
    <w:rsid w:val="3E423756"/>
    <w:rsid w:val="406E520F"/>
    <w:rsid w:val="4133674B"/>
    <w:rsid w:val="41450FF4"/>
    <w:rsid w:val="41470EC9"/>
    <w:rsid w:val="41D91034"/>
    <w:rsid w:val="425273A8"/>
    <w:rsid w:val="42BA2B00"/>
    <w:rsid w:val="42E2242E"/>
    <w:rsid w:val="44041FE4"/>
    <w:rsid w:val="44E0307C"/>
    <w:rsid w:val="453B360E"/>
    <w:rsid w:val="466962E1"/>
    <w:rsid w:val="46F504BB"/>
    <w:rsid w:val="483F0B8A"/>
    <w:rsid w:val="4B8A645B"/>
    <w:rsid w:val="4C8468C4"/>
    <w:rsid w:val="4D397111"/>
    <w:rsid w:val="4DB32609"/>
    <w:rsid w:val="4DE86A90"/>
    <w:rsid w:val="4F7F57CC"/>
    <w:rsid w:val="51821A98"/>
    <w:rsid w:val="519D75E5"/>
    <w:rsid w:val="58E37488"/>
    <w:rsid w:val="5CFE3BD6"/>
    <w:rsid w:val="5D557B91"/>
    <w:rsid w:val="5D5A17F1"/>
    <w:rsid w:val="5E4925B3"/>
    <w:rsid w:val="5E9A7719"/>
    <w:rsid w:val="5EA93E10"/>
    <w:rsid w:val="5F6B7317"/>
    <w:rsid w:val="65932D20"/>
    <w:rsid w:val="6A6B4936"/>
    <w:rsid w:val="6A73708F"/>
    <w:rsid w:val="6A9E62AC"/>
    <w:rsid w:val="6B737838"/>
    <w:rsid w:val="6EFE2176"/>
    <w:rsid w:val="714070ED"/>
    <w:rsid w:val="72735B67"/>
    <w:rsid w:val="73A059C5"/>
    <w:rsid w:val="73F15423"/>
    <w:rsid w:val="74BA3474"/>
    <w:rsid w:val="75B01627"/>
    <w:rsid w:val="7C595CEF"/>
    <w:rsid w:val="7EC35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oc 5"/>
    <w:basedOn w:val="1"/>
    <w:next w:val="1"/>
    <w:qFormat/>
    <w:uiPriority w:val="0"/>
    <w:pPr>
      <w:ind w:left="1680"/>
    </w:pPr>
  </w:style>
  <w:style w:type="paragraph" w:styleId="4">
    <w:name w:val="Plain Text"/>
    <w:basedOn w:val="1"/>
    <w:qFormat/>
    <w:uiPriority w:val="0"/>
    <w:rPr>
      <w:rFonts w:ascii="宋体" w:hAnsi="Courier New"/>
      <w:szCs w:val="20"/>
    </w:rPr>
  </w:style>
  <w:style w:type="paragraph" w:styleId="5">
    <w:name w:val="footnote text"/>
    <w:basedOn w:val="1"/>
    <w:unhideWhenUsed/>
    <w:qFormat/>
    <w:uiPriority w:val="99"/>
    <w:pPr>
      <w:snapToGrid w:val="0"/>
      <w:jc w:val="left"/>
    </w:pPr>
    <w:rPr>
      <w:rFonts w:ascii="Calibri" w:hAnsi="Calibri"/>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2"/>
    <w:qFormat/>
    <w:uiPriority w:val="0"/>
    <w:pPr>
      <w:widowControl/>
      <w:spacing w:after="120"/>
      <w:ind w:firstLine="420" w:firstLineChars="100"/>
      <w:jc w:val="left"/>
    </w:pPr>
    <w:rPr>
      <w:rFonts w:ascii="Calibri" w:hAnsi="Calibri" w:eastAsia="宋体" w:cs="Times New Roman"/>
      <w:kern w:val="0"/>
      <w:szCs w:val="20"/>
    </w:rPr>
  </w:style>
  <w:style w:type="character" w:styleId="10">
    <w:name w:val="Strong"/>
    <w:qFormat/>
    <w:uiPriority w:val="22"/>
    <w:rPr>
      <w:b/>
      <w:bCs/>
    </w:rPr>
  </w:style>
  <w:style w:type="character" w:styleId="11">
    <w:name w:val="footnote reference"/>
    <w:semiHidden/>
    <w:unhideWhenUsed/>
    <w:qFormat/>
    <w:uiPriority w:val="99"/>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8</Pages>
  <Words>2900</Words>
  <Characters>2934</Characters>
  <Lines>0</Lines>
  <Paragraphs>0</Paragraphs>
  <TotalTime>6</TotalTime>
  <ScaleCrop>false</ScaleCrop>
  <LinksUpToDate>false</LinksUpToDate>
  <CharactersWithSpaces>2934</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2021-02-07T09:47:00Z</dcterms:created>
  <dc:creator>klxclj163com</dc:creator>
  <cp:lastModifiedBy>张剑平</cp:lastModifiedBy>
  <cp:lastPrinted>2023-03-09T08:52:00Z</cp:lastPrinted>
  <dcterms:modified xsi:type="dcterms:W3CDTF">2025-03-19T02:33:02Z</dcterms:modified>
  <dc:title>中山市光荣院物业管理招标书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1492966370AD4982BFF48076773FA551</vt:lpwstr>
  </property>
  <property fmtid="{D5CDD505-2E9C-101B-9397-08002B2CF9AE}" pid="4" name="KSOTemplateDocerSaveRecord">
    <vt:lpwstr>eyJoZGlkIjoiOWY1OTUyMWI2MDY4MmM4MGUzYWY4MDc3NThkZjg0ZDgiLCJ1c2VySWQiOiIzNDc4NjU3MzMifQ==</vt:lpwstr>
  </property>
</Properties>
</file>