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220"/>
        </w:tabs>
        <w:kinsoku/>
        <w:wordWrap/>
        <w:overflowPunct/>
        <w:topLinePunct w:val="0"/>
        <w:autoSpaceDE/>
        <w:autoSpaceDN/>
        <w:bidi w:val="0"/>
        <w:adjustRightInd/>
        <w:snapToGrid/>
        <w:spacing w:line="520" w:lineRule="exact"/>
        <w:ind w:left="0" w:leftChars="0" w:right="0" w:rightChars="0" w:firstLine="431" w:firstLineChars="98"/>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w:t>
      </w:r>
      <w:r>
        <w:rPr>
          <w:rFonts w:hint="eastAsia" w:ascii="方正小标宋简体" w:hAnsi="方正小标宋简体" w:eastAsia="方正小标宋简体" w:cs="方正小标宋简体"/>
          <w:b w:val="0"/>
          <w:bCs/>
          <w:sz w:val="44"/>
          <w:szCs w:val="44"/>
          <w:lang w:val="en-US" w:eastAsia="zh-CN"/>
        </w:rPr>
        <w:t>24年度接收</w:t>
      </w:r>
      <w:r>
        <w:rPr>
          <w:rFonts w:hint="eastAsia" w:ascii="方正小标宋简体" w:hAnsi="方正小标宋简体" w:eastAsia="方正小标宋简体" w:cs="方正小标宋简体"/>
          <w:b w:val="0"/>
          <w:bCs/>
          <w:sz w:val="44"/>
          <w:szCs w:val="44"/>
        </w:rPr>
        <w:t>退役</w:t>
      </w:r>
      <w:r>
        <w:rPr>
          <w:rFonts w:hint="eastAsia" w:ascii="方正小标宋简体" w:hAnsi="方正小标宋简体" w:eastAsia="方正小标宋简体" w:cs="方正小标宋简体"/>
          <w:b w:val="0"/>
          <w:bCs/>
          <w:sz w:val="44"/>
          <w:szCs w:val="44"/>
          <w:lang w:eastAsia="zh-CN"/>
        </w:rPr>
        <w:t>军人服务保障</w:t>
      </w:r>
      <w:r>
        <w:rPr>
          <w:rFonts w:hint="eastAsia" w:ascii="方正小标宋简体" w:hAnsi="方正小标宋简体" w:eastAsia="方正小标宋简体" w:cs="方正小标宋简体"/>
          <w:b w:val="0"/>
          <w:bCs/>
          <w:sz w:val="44"/>
          <w:szCs w:val="44"/>
        </w:rPr>
        <w:t>工作</w:t>
      </w:r>
    </w:p>
    <w:p>
      <w:pPr>
        <w:keepNext w:val="0"/>
        <w:keepLines w:val="0"/>
        <w:pageBreakBefore w:val="0"/>
        <w:widowControl w:val="0"/>
        <w:tabs>
          <w:tab w:val="left" w:pos="5220"/>
        </w:tabs>
        <w:kinsoku/>
        <w:wordWrap/>
        <w:overflowPunct/>
        <w:topLinePunct w:val="0"/>
        <w:autoSpaceDE/>
        <w:autoSpaceDN/>
        <w:bidi w:val="0"/>
        <w:adjustRightInd/>
        <w:snapToGrid/>
        <w:spacing w:line="520" w:lineRule="exact"/>
        <w:ind w:left="0" w:leftChars="0" w:right="0" w:rightChars="0" w:firstLine="431" w:firstLineChars="98"/>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sz w:val="44"/>
          <w:szCs w:val="44"/>
          <w:lang w:eastAsia="zh-CN"/>
        </w:rPr>
        <w:t>购买服务</w:t>
      </w:r>
      <w:r>
        <w:rPr>
          <w:rFonts w:hint="eastAsia" w:ascii="方正小标宋简体" w:hAnsi="方正小标宋简体" w:eastAsia="方正小标宋简体" w:cs="方正小标宋简体"/>
          <w:sz w:val="44"/>
          <w:szCs w:val="44"/>
        </w:rPr>
        <w:t>用户需求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lang w:eastAsia="zh-CN"/>
        </w:rPr>
        <w:t>一、服务时间：</w:t>
      </w:r>
      <w:r>
        <w:rPr>
          <w:rFonts w:hint="eastAsia" w:ascii="仿宋_GB2312" w:hAnsi="仿宋_GB2312" w:eastAsia="仿宋_GB2312" w:cs="仿宋_GB2312"/>
          <w:color w:val="000000"/>
          <w:sz w:val="32"/>
          <w:szCs w:val="32"/>
          <w:lang w:val="en-US" w:eastAsia="zh-CN"/>
        </w:rPr>
        <w:t>自</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月1日</w:t>
      </w:r>
      <w:r>
        <w:rPr>
          <w:rFonts w:hint="eastAsia" w:ascii="仿宋_GB2312" w:hAnsi="仿宋_GB2312" w:eastAsia="仿宋_GB2312" w:cs="仿宋_GB2312"/>
          <w:color w:val="000000"/>
          <w:sz w:val="32"/>
          <w:szCs w:val="32"/>
          <w:lang w:eastAsia="zh-CN"/>
        </w:rPr>
        <w:t>到</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31</w:t>
      </w:r>
      <w:r>
        <w:rPr>
          <w:rFonts w:hint="eastAsia" w:ascii="仿宋_GB2312" w:hAnsi="仿宋_GB2312" w:eastAsia="仿宋_GB2312" w:cs="仿宋_GB2312"/>
          <w:color w:val="000000"/>
          <w:sz w:val="32"/>
          <w:szCs w:val="32"/>
        </w:rPr>
        <w:t>日。</w:t>
      </w:r>
    </w:p>
    <w:p>
      <w:pPr>
        <w:pStyle w:val="4"/>
        <w:keepNext w:val="0"/>
        <w:keepLines w:val="0"/>
        <w:pageBreakBefore w:val="0"/>
        <w:widowControl w:val="0"/>
        <w:numPr>
          <w:ilvl w:val="0"/>
          <w:numId w:val="0"/>
        </w:numPr>
        <w:tabs>
          <w:tab w:val="left" w:pos="426"/>
        </w:tabs>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二、项目需求：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eastAsia="仿宋_GB2312"/>
          <w:sz w:val="32"/>
          <w:szCs w:val="32"/>
          <w:lang w:eastAsia="zh-CN"/>
        </w:rPr>
        <w:t>按照国防和军队体制改革要求，退役士兵、转业复员军官、转业复员士官、军队离退休干部、随调家属、残疾军人等各类退役军人即交即接，每年接收退役军人人数约</w:t>
      </w:r>
      <w:r>
        <w:rPr>
          <w:rFonts w:hint="eastAsia" w:ascii="仿宋_GB2312" w:eastAsia="仿宋_GB2312"/>
          <w:sz w:val="32"/>
          <w:szCs w:val="32"/>
          <w:lang w:val="en-US" w:eastAsia="zh-CN"/>
        </w:rPr>
        <w:t>700人。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更好地服务退役军人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拓展服务保障渠道，引进社会专业力量，为退役军人实施专业化的服务，满足退役军人多样化服务需求，</w:t>
      </w:r>
      <w:r>
        <w:rPr>
          <w:rFonts w:hint="eastAsia" w:ascii="仿宋_GB2312" w:hAnsi="Times New Roman" w:eastAsia="仿宋_GB2312" w:cs="Times New Roman"/>
          <w:kern w:val="2"/>
          <w:sz w:val="32"/>
          <w:szCs w:val="32"/>
          <w:lang w:val="en-US" w:eastAsia="zh-CN" w:bidi="ar-SA"/>
        </w:rPr>
        <w:t>现通过</w:t>
      </w:r>
      <w:r>
        <w:rPr>
          <w:rFonts w:hint="eastAsia" w:ascii="仿宋_GB2312" w:hAnsi="仿宋_GB2312" w:eastAsia="仿宋_GB2312" w:cs="仿宋_GB2312"/>
          <w:sz w:val="32"/>
          <w:szCs w:val="32"/>
          <w:lang w:eastAsia="zh-CN"/>
        </w:rPr>
        <w:t>购买服务方式开展接收安置退役军人服务保障工作项目。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服务内容：</w:t>
      </w:r>
    </w:p>
    <w:p>
      <w:pPr>
        <w:keepNext w:val="0"/>
        <w:keepLines w:val="0"/>
        <w:pageBreakBefore w:val="0"/>
        <w:widowControl w:val="0"/>
        <w:kinsoku/>
        <w:wordWrap/>
        <w:overflowPunct/>
        <w:topLinePunct w:val="0"/>
        <w:autoSpaceDE/>
        <w:autoSpaceDN/>
        <w:bidi w:val="0"/>
        <w:adjustRightInd/>
        <w:snapToGrid/>
        <w:spacing w:line="580" w:lineRule="exact"/>
        <w:ind w:firstLine="600"/>
        <w:jc w:val="left"/>
        <w:textAlignment w:val="auto"/>
        <w:rPr>
          <w:rFonts w:hint="eastAsia" w:ascii="仿宋_GB2312" w:eastAsia="仿宋_GB2312"/>
          <w:sz w:val="44"/>
          <w:szCs w:val="44"/>
        </w:rPr>
      </w:pPr>
      <w:r>
        <w:rPr>
          <w:rFonts w:hint="eastAsia" w:ascii="仿宋_GB2312" w:eastAsia="仿宋_GB2312"/>
          <w:sz w:val="32"/>
          <w:szCs w:val="32"/>
          <w:lang w:val="en-US" w:eastAsia="zh-CN"/>
        </w:rPr>
        <w:t>1、接收退役军人期间，需要在市退役军人服务中心一楼服务大厅</w:t>
      </w:r>
      <w:r>
        <w:rPr>
          <w:rFonts w:hint="eastAsia" w:ascii="仿宋_GB2312" w:eastAsia="仿宋_GB2312"/>
          <w:sz w:val="32"/>
          <w:szCs w:val="32"/>
          <w:lang w:eastAsia="zh-CN"/>
        </w:rPr>
        <w:t>开展</w:t>
      </w:r>
      <w:r>
        <w:rPr>
          <w:rFonts w:hint="eastAsia" w:ascii="仿宋_GB2312" w:eastAsia="仿宋_GB2312"/>
          <w:sz w:val="32"/>
          <w:szCs w:val="32"/>
          <w:lang w:val="en-US" w:eastAsia="zh-CN"/>
        </w:rPr>
        <w:t>报到登记接待，</w:t>
      </w:r>
      <w:r>
        <w:rPr>
          <w:rFonts w:hint="eastAsia" w:ascii="仿宋_GB2312" w:hAnsi="仿宋_GB2312" w:eastAsia="仿宋_GB2312" w:cs="仿宋_GB2312"/>
          <w:color w:val="000000"/>
          <w:sz w:val="32"/>
          <w:szCs w:val="32"/>
          <w:lang w:val="en-US" w:eastAsia="zh-CN"/>
        </w:rPr>
        <w:t>协助</w:t>
      </w:r>
      <w:r>
        <w:rPr>
          <w:rFonts w:hint="eastAsia" w:ascii="仿宋_GB2312" w:hAnsi="仿宋_GB2312" w:eastAsia="仿宋_GB2312" w:cs="仿宋_GB2312"/>
          <w:color w:val="000000"/>
          <w:sz w:val="32"/>
          <w:szCs w:val="32"/>
          <w:lang w:eastAsia="zh-CN"/>
        </w:rPr>
        <w:t>退役军人办理党团组织关系转移、社保接转、预备役登记、落户等相关手续。</w:t>
      </w:r>
    </w:p>
    <w:p>
      <w:pPr>
        <w:pStyle w:val="2"/>
        <w:ind w:firstLine="640" w:firstLineChars="200"/>
        <w:rPr>
          <w:rFonts w:hint="eastAsia"/>
        </w:rPr>
      </w:pPr>
      <w:r>
        <w:rPr>
          <w:rFonts w:hint="eastAsia" w:ascii="仿宋_GB2312" w:eastAsia="仿宋_GB2312"/>
          <w:sz w:val="32"/>
          <w:szCs w:val="32"/>
          <w:lang w:val="en-US" w:eastAsia="zh-CN"/>
        </w:rPr>
        <w:t>2、</w:t>
      </w:r>
      <w:r>
        <w:rPr>
          <w:rFonts w:hint="eastAsia" w:ascii="仿宋_GB2312" w:hAnsi="仿宋_GB2312" w:eastAsia="仿宋_GB2312" w:cs="仿宋_GB2312"/>
          <w:color w:val="000000"/>
          <w:sz w:val="32"/>
          <w:szCs w:val="32"/>
          <w:lang w:eastAsia="zh-CN"/>
        </w:rPr>
        <w:t>开展退役军人待安置期间走访慰问、就业帮扶、教育培训、政治学习、协助解决子女入学、租购房屋、医疗等服务工作。</w:t>
      </w:r>
    </w:p>
    <w:p>
      <w:pPr>
        <w:keepNext w:val="0"/>
        <w:keepLines w:val="0"/>
        <w:pageBreakBefore w:val="0"/>
        <w:widowControl w:val="0"/>
        <w:kinsoku/>
        <w:wordWrap/>
        <w:overflowPunct/>
        <w:topLinePunct w:val="0"/>
        <w:autoSpaceDE/>
        <w:autoSpaceDN/>
        <w:bidi w:val="0"/>
        <w:adjustRightInd/>
        <w:snapToGrid/>
        <w:spacing w:line="580" w:lineRule="exact"/>
        <w:ind w:firstLine="600"/>
        <w:jc w:val="left"/>
        <w:textAlignment w:val="auto"/>
        <w:rPr>
          <w:rFonts w:hint="eastAsia"/>
        </w:rPr>
      </w:pPr>
      <w:r>
        <w:rPr>
          <w:rFonts w:hint="eastAsia" w:ascii="仿宋_GB2312" w:eastAsia="仿宋_GB2312"/>
          <w:sz w:val="32"/>
          <w:szCs w:val="32"/>
          <w:lang w:val="en-US" w:eastAsia="zh-CN"/>
        </w:rPr>
        <w:t>3、开展退役军人档案的接收审核和相关立功受奖等资料的收集工作，并将</w:t>
      </w:r>
      <w:r>
        <w:rPr>
          <w:rFonts w:hint="eastAsia" w:ascii="仿宋_GB2312" w:eastAsia="仿宋_GB2312"/>
          <w:sz w:val="32"/>
          <w:szCs w:val="32"/>
          <w:lang w:eastAsia="zh-CN"/>
        </w:rPr>
        <w:t>收集相关材料装订成册，数据录入电脑等</w:t>
      </w:r>
      <w:r>
        <w:rPr>
          <w:rFonts w:hint="eastAsia" w:ascii="仿宋_GB2312" w:hAnsi="仿宋_GB2312" w:eastAsia="仿宋_GB2312" w:cs="仿宋_GB2312"/>
          <w:color w:val="000000"/>
          <w:sz w:val="32"/>
          <w:szCs w:val="32"/>
          <w:lang w:eastAsia="zh-CN"/>
        </w:rPr>
        <w:t>工作。</w:t>
      </w:r>
    </w:p>
    <w:p>
      <w:pPr>
        <w:pStyle w:val="4"/>
        <w:keepNext w:val="0"/>
        <w:keepLines w:val="0"/>
        <w:pageBreakBefore w:val="0"/>
        <w:widowControl w:val="0"/>
        <w:numPr>
          <w:ilvl w:val="0"/>
          <w:numId w:val="1"/>
        </w:numPr>
        <w:tabs>
          <w:tab w:val="left" w:pos="426"/>
        </w:tabs>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服务要求：</w:t>
      </w:r>
    </w:p>
    <w:p>
      <w:pPr>
        <w:pStyle w:val="4"/>
        <w:keepNext w:val="0"/>
        <w:keepLines w:val="0"/>
        <w:pageBreakBefore w:val="0"/>
        <w:widowControl w:val="0"/>
        <w:numPr>
          <w:ilvl w:val="0"/>
          <w:numId w:val="0"/>
        </w:numPr>
        <w:tabs>
          <w:tab w:val="left" w:pos="426"/>
        </w:tabs>
        <w:kinsoku/>
        <w:wordWrap/>
        <w:overflowPunct/>
        <w:topLinePunct w:val="0"/>
        <w:autoSpaceDE/>
        <w:autoSpaceDN/>
        <w:bidi w:val="0"/>
        <w:adjustRightInd w:val="0"/>
        <w:snapToGrid w:val="0"/>
        <w:spacing w:line="560" w:lineRule="exact"/>
        <w:ind w:leftChars="0" w:right="0" w:rightChars="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1、成交供应商根据采购人每月定制的时数与天数进行工作安排，采购人有权对每月定制的时数与天数进行修改或调整。</w:t>
      </w:r>
    </w:p>
    <w:p>
      <w:pPr>
        <w:pStyle w:val="4"/>
        <w:keepNext w:val="0"/>
        <w:keepLines w:val="0"/>
        <w:pageBreakBefore w:val="0"/>
        <w:widowControl w:val="0"/>
        <w:numPr>
          <w:ilvl w:val="0"/>
          <w:numId w:val="0"/>
        </w:numPr>
        <w:tabs>
          <w:tab w:val="left" w:pos="426"/>
        </w:tabs>
        <w:kinsoku/>
        <w:wordWrap/>
        <w:overflowPunct/>
        <w:topLinePunct w:val="0"/>
        <w:autoSpaceDE/>
        <w:autoSpaceDN/>
        <w:bidi w:val="0"/>
        <w:adjustRightInd w:val="0"/>
        <w:snapToGrid w:val="0"/>
        <w:spacing w:line="560" w:lineRule="exact"/>
        <w:ind w:leftChars="0" w:right="0" w:rightChars="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2、成交供应商需调离项目人员时，应提前7天以书面形式通知采购人并征得采购人同意后方可调离项目人员。（除项目人员因自身理由离职情况）。</w:t>
      </w:r>
    </w:p>
    <w:p>
      <w:pPr>
        <w:pStyle w:val="4"/>
        <w:keepNext w:val="0"/>
        <w:keepLines w:val="0"/>
        <w:pageBreakBefore w:val="0"/>
        <w:widowControl w:val="0"/>
        <w:numPr>
          <w:ilvl w:val="0"/>
          <w:numId w:val="0"/>
        </w:numPr>
        <w:tabs>
          <w:tab w:val="left" w:pos="426"/>
        </w:tabs>
        <w:kinsoku/>
        <w:wordWrap/>
        <w:overflowPunct/>
        <w:topLinePunct w:val="0"/>
        <w:autoSpaceDE/>
        <w:autoSpaceDN/>
        <w:bidi w:val="0"/>
        <w:adjustRightInd w:val="0"/>
        <w:snapToGrid w:val="0"/>
        <w:spacing w:line="560" w:lineRule="exact"/>
        <w:ind w:leftChars="0" w:right="0" w:rightChars="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3、成交供应商须按国家、省、市有关规定向项目人员支付高于中山市最低工资标准的工资、险金、劳保福利及有关的工人津贴并签订劳务合同等。</w:t>
      </w:r>
    </w:p>
    <w:p>
      <w:pPr>
        <w:pStyle w:val="4"/>
        <w:keepNext w:val="0"/>
        <w:keepLines w:val="0"/>
        <w:pageBreakBefore w:val="0"/>
        <w:widowControl w:val="0"/>
        <w:numPr>
          <w:ilvl w:val="0"/>
          <w:numId w:val="0"/>
        </w:numPr>
        <w:tabs>
          <w:tab w:val="left" w:pos="426"/>
        </w:tabs>
        <w:kinsoku/>
        <w:wordWrap/>
        <w:overflowPunct/>
        <w:topLinePunct w:val="0"/>
        <w:autoSpaceDE/>
        <w:autoSpaceDN/>
        <w:bidi w:val="0"/>
        <w:adjustRightInd w:val="0"/>
        <w:snapToGrid w:val="0"/>
        <w:spacing w:line="560" w:lineRule="exact"/>
        <w:ind w:leftChars="0" w:right="0" w:rightChars="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成交供应商委派的项目人员须遵守采购人有关规章制度和管理规定，如有违反或损害采购人利益的行为，采购人有权要求成交供应商中止该人员所辖工作，并要求成交供应商无条件更换不低于采购人要求的人员继续进行其工作。</w:t>
      </w:r>
    </w:p>
    <w:p>
      <w:pPr>
        <w:pStyle w:val="4"/>
        <w:keepNext w:val="0"/>
        <w:keepLines w:val="0"/>
        <w:pageBreakBefore w:val="0"/>
        <w:widowControl w:val="0"/>
        <w:numPr>
          <w:ilvl w:val="0"/>
          <w:numId w:val="0"/>
        </w:numPr>
        <w:tabs>
          <w:tab w:val="left" w:pos="426"/>
        </w:tabs>
        <w:kinsoku/>
        <w:wordWrap/>
        <w:overflowPunct/>
        <w:topLinePunct w:val="0"/>
        <w:autoSpaceDE/>
        <w:autoSpaceDN/>
        <w:bidi w:val="0"/>
        <w:adjustRightInd w:val="0"/>
        <w:snapToGrid w:val="0"/>
        <w:spacing w:line="560" w:lineRule="exact"/>
        <w:ind w:leftChars="0" w:right="0" w:rightChars="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5、采购人认为成交供应商所委派的工作人员不服从管理，成交供应商应当在收到采购人的书面通知后7天内更换，并要求成交供应商无条件更换不低于采购人要求的人员继续进行其工作。</w:t>
      </w:r>
    </w:p>
    <w:p>
      <w:pPr>
        <w:pStyle w:val="4"/>
        <w:keepNext w:val="0"/>
        <w:keepLines w:val="0"/>
        <w:pageBreakBefore w:val="0"/>
        <w:widowControl w:val="0"/>
        <w:numPr>
          <w:ilvl w:val="0"/>
          <w:numId w:val="0"/>
        </w:numPr>
        <w:tabs>
          <w:tab w:val="left" w:pos="426"/>
        </w:tabs>
        <w:kinsoku/>
        <w:wordWrap/>
        <w:overflowPunct/>
        <w:topLinePunct w:val="0"/>
        <w:autoSpaceDE/>
        <w:autoSpaceDN/>
        <w:bidi w:val="0"/>
        <w:adjustRightInd w:val="0"/>
        <w:snapToGrid w:val="0"/>
        <w:spacing w:line="560" w:lineRule="exact"/>
        <w:ind w:leftChars="0" w:right="0" w:rightChars="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6、采购人不负责成交供应商委派的项目人员的食宿、交通、交通工具、通讯费用等。</w:t>
      </w:r>
    </w:p>
    <w:p>
      <w:pPr>
        <w:pStyle w:val="4"/>
        <w:keepNext w:val="0"/>
        <w:keepLines w:val="0"/>
        <w:pageBreakBefore w:val="0"/>
        <w:widowControl w:val="0"/>
        <w:numPr>
          <w:ilvl w:val="0"/>
          <w:numId w:val="0"/>
        </w:numPr>
        <w:tabs>
          <w:tab w:val="left" w:pos="426"/>
        </w:tabs>
        <w:kinsoku/>
        <w:wordWrap/>
        <w:overflowPunct/>
        <w:topLinePunct w:val="0"/>
        <w:autoSpaceDE/>
        <w:autoSpaceDN/>
        <w:bidi w:val="0"/>
        <w:adjustRightInd w:val="0"/>
        <w:snapToGrid w:val="0"/>
        <w:spacing w:line="560" w:lineRule="exact"/>
        <w:ind w:leftChars="0" w:right="0" w:rightChars="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7、采购人如有突发情况发生需安排加班工作的，成交供应商需接受采购人的加班工作安排，并自行解决交通、食宿问题；由此产生的费用已包含在投标报价中。</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lang w:eastAsia="zh-CN"/>
        </w:rPr>
        <w:t>采购方支付给</w:t>
      </w:r>
      <w:r>
        <w:rPr>
          <w:rFonts w:hint="eastAsia" w:ascii="仿宋_GB2312" w:hAnsi="仿宋" w:eastAsia="仿宋_GB2312"/>
          <w:sz w:val="32"/>
          <w:szCs w:val="32"/>
          <w:lang w:eastAsia="zh-CN"/>
        </w:rPr>
        <w:t>成交供应商</w:t>
      </w:r>
      <w:r>
        <w:rPr>
          <w:rFonts w:hint="eastAsia" w:ascii="仿宋_GB2312" w:hAnsi="仿宋_GB2312" w:eastAsia="仿宋_GB2312" w:cs="仿宋_GB2312"/>
          <w:color w:val="000000"/>
          <w:sz w:val="32"/>
          <w:szCs w:val="32"/>
        </w:rPr>
        <w:t>的项目经费</w:t>
      </w:r>
      <w:r>
        <w:rPr>
          <w:rFonts w:hint="eastAsia" w:ascii="仿宋_GB2312" w:hAnsi="仿宋_GB2312" w:eastAsia="仿宋_GB2312" w:cs="仿宋_GB2312"/>
          <w:color w:val="000000"/>
          <w:sz w:val="32"/>
          <w:szCs w:val="32"/>
          <w:lang w:eastAsia="zh-CN"/>
        </w:rPr>
        <w:t>用于本项目</w:t>
      </w:r>
      <w:r>
        <w:rPr>
          <w:rFonts w:hint="eastAsia" w:ascii="仿宋_GB2312" w:hAnsi="仿宋_GB2312" w:eastAsia="仿宋_GB2312" w:cs="仿宋_GB2312"/>
          <w:color w:val="000000"/>
          <w:sz w:val="32"/>
          <w:szCs w:val="32"/>
        </w:rPr>
        <w:t>人员</w:t>
      </w:r>
      <w:r>
        <w:rPr>
          <w:rFonts w:hint="eastAsia" w:ascii="仿宋_GB2312" w:hAnsi="仿宋_GB2312" w:eastAsia="仿宋_GB2312" w:cs="仿宋_GB2312"/>
          <w:color w:val="000000"/>
          <w:sz w:val="32"/>
          <w:szCs w:val="32"/>
          <w:lang w:eastAsia="zh-CN"/>
        </w:rPr>
        <w:t>的工资、</w:t>
      </w:r>
      <w:r>
        <w:rPr>
          <w:rFonts w:hint="eastAsia" w:ascii="仿宋_GB2312" w:hAnsi="仿宋_GB2312" w:eastAsia="仿宋_GB2312" w:cs="仿宋_GB2312"/>
          <w:color w:val="000000"/>
          <w:sz w:val="32"/>
          <w:szCs w:val="32"/>
        </w:rPr>
        <w:t>补贴费用、误餐费、</w:t>
      </w:r>
      <w:r>
        <w:rPr>
          <w:rFonts w:hint="eastAsia" w:ascii="仿宋_GB2312" w:hAnsi="仿宋_GB2312" w:eastAsia="仿宋_GB2312" w:cs="仿宋_GB2312"/>
          <w:color w:val="000000"/>
          <w:sz w:val="32"/>
          <w:szCs w:val="32"/>
          <w:lang w:eastAsia="zh-CN"/>
        </w:rPr>
        <w:t>走访慰问</w:t>
      </w:r>
      <w:r>
        <w:rPr>
          <w:rFonts w:hint="eastAsia" w:ascii="仿宋_GB2312" w:hAnsi="仿宋_GB2312" w:eastAsia="仿宋_GB2312" w:cs="仿宋_GB2312"/>
          <w:color w:val="000000"/>
          <w:sz w:val="32"/>
          <w:szCs w:val="32"/>
        </w:rPr>
        <w:t>交通费、税费、意外保险费、福利费等</w:t>
      </w:r>
      <w:r>
        <w:rPr>
          <w:rFonts w:hint="eastAsia" w:ascii="仿宋_GB2312" w:hAnsi="仿宋_GB2312" w:eastAsia="仿宋_GB2312" w:cs="仿宋_GB2312"/>
          <w:color w:val="000000"/>
          <w:sz w:val="32"/>
          <w:szCs w:val="32"/>
          <w:lang w:eastAsia="zh-CN"/>
        </w:rPr>
        <w:t>，</w:t>
      </w:r>
      <w:r>
        <w:rPr>
          <w:rFonts w:hint="eastAsia" w:ascii="仿宋_GB2312" w:hAnsi="仿宋" w:eastAsia="仿宋_GB2312"/>
          <w:sz w:val="32"/>
          <w:szCs w:val="32"/>
          <w:lang w:eastAsia="zh-CN"/>
        </w:rPr>
        <w:t>成交供应商</w:t>
      </w:r>
      <w:r>
        <w:rPr>
          <w:rFonts w:hint="eastAsia" w:ascii="仿宋_GB2312" w:hAnsi="仿宋_GB2312" w:eastAsia="仿宋_GB2312" w:cs="仿宋_GB2312"/>
          <w:color w:val="000000"/>
          <w:sz w:val="32"/>
          <w:szCs w:val="32"/>
          <w:lang w:eastAsia="zh-CN"/>
        </w:rPr>
        <w:t>不得用于其他支出。</w:t>
      </w:r>
    </w:p>
    <w:p>
      <w:pPr>
        <w:pStyle w:val="2"/>
        <w:ind w:firstLine="640" w:firstLineChars="200"/>
        <w:rPr>
          <w:rFonts w:hint="eastAsia" w:ascii="仿宋_GB2312" w:eastAsia="仿宋_GB2312" w:cs="Times New Roman"/>
          <w:kern w:val="2"/>
          <w:sz w:val="32"/>
          <w:szCs w:val="32"/>
          <w:lang w:val="en-US" w:eastAsia="zh-CN" w:bidi="ar-SA"/>
        </w:rPr>
      </w:pPr>
      <w:r>
        <w:rPr>
          <w:rFonts w:hint="eastAsia" w:ascii="仿宋_GB2312" w:hAnsi="仿宋_GB2312" w:eastAsia="仿宋_GB2312" w:cs="仿宋_GB2312"/>
          <w:color w:val="000000"/>
          <w:sz w:val="32"/>
          <w:szCs w:val="32"/>
          <w:lang w:val="en-US" w:eastAsia="zh-CN"/>
        </w:rPr>
        <w:t>9、成交供应商要安排不少于2</w:t>
      </w:r>
      <w:r>
        <w:rPr>
          <w:rFonts w:hint="eastAsia" w:ascii="仿宋_GB2312" w:hAnsi="Times New Roman" w:eastAsia="仿宋_GB2312" w:cs="Times New Roman"/>
          <w:kern w:val="2"/>
          <w:sz w:val="32"/>
          <w:szCs w:val="32"/>
          <w:lang w:val="en-US" w:eastAsia="zh-CN" w:bidi="ar-SA"/>
        </w:rPr>
        <w:t>名工作人员专门开展</w:t>
      </w:r>
      <w:r>
        <w:rPr>
          <w:rFonts w:hint="eastAsia" w:ascii="仿宋_GB2312" w:eastAsia="仿宋_GB2312" w:cs="Times New Roman"/>
          <w:kern w:val="2"/>
          <w:sz w:val="32"/>
          <w:szCs w:val="32"/>
          <w:lang w:val="en-US" w:eastAsia="zh-CN" w:bidi="ar-SA"/>
        </w:rPr>
        <w:t>此项工作。</w:t>
      </w:r>
    </w:p>
    <w:p>
      <w:pPr>
        <w:pStyle w:val="3"/>
        <w:ind w:left="0" w:leftChars="0" w:firstLine="640" w:firstLineChars="200"/>
        <w:jc w:val="left"/>
        <w:rPr>
          <w:rFonts w:hint="default"/>
          <w:lang w:val="en-US" w:eastAsia="zh-CN"/>
        </w:rPr>
      </w:pPr>
      <w:r>
        <w:rPr>
          <w:rFonts w:hint="eastAsia" w:ascii="仿宋_GB2312" w:eastAsia="仿宋_GB2312" w:cs="Times New Roman"/>
          <w:kern w:val="2"/>
          <w:sz w:val="32"/>
          <w:szCs w:val="32"/>
          <w:lang w:val="en-US" w:eastAsia="zh-CN" w:bidi="ar-SA"/>
        </w:rPr>
        <w:t>10、成交供应商安排的工作人员应遵守采购人的工作纪律和保密规定，并与安排的工作人员签订保密协议书。</w:t>
      </w:r>
    </w:p>
    <w:p>
      <w:pPr>
        <w:pStyle w:val="4"/>
        <w:keepNext w:val="0"/>
        <w:keepLines w:val="0"/>
        <w:pageBreakBefore w:val="0"/>
        <w:widowControl w:val="0"/>
        <w:numPr>
          <w:ilvl w:val="0"/>
          <w:numId w:val="0"/>
        </w:numPr>
        <w:tabs>
          <w:tab w:val="left" w:pos="426"/>
        </w:tabs>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五、人员要求：</w:t>
      </w:r>
    </w:p>
    <w:p>
      <w:pPr>
        <w:pStyle w:val="4"/>
        <w:keepNext w:val="0"/>
        <w:keepLines w:val="0"/>
        <w:pageBreakBefore w:val="0"/>
        <w:widowControl w:val="0"/>
        <w:numPr>
          <w:ilvl w:val="0"/>
          <w:numId w:val="0"/>
        </w:numPr>
        <w:tabs>
          <w:tab w:val="left" w:pos="426"/>
        </w:tabs>
        <w:kinsoku/>
        <w:wordWrap/>
        <w:overflowPunct/>
        <w:topLinePunct w:val="0"/>
        <w:autoSpaceDE/>
        <w:autoSpaceDN/>
        <w:bidi w:val="0"/>
        <w:adjustRightInd w:val="0"/>
        <w:snapToGrid w:val="0"/>
        <w:spacing w:line="560" w:lineRule="exact"/>
        <w:ind w:leftChars="0" w:right="0" w:rightChars="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1、成交供应商需承诺双方签订合同后10天内配备项目人员到岗。（投标文件中提供承诺函，不提供视为无效）</w:t>
      </w:r>
    </w:p>
    <w:p>
      <w:pPr>
        <w:pStyle w:val="4"/>
        <w:keepNext w:val="0"/>
        <w:keepLines w:val="0"/>
        <w:pageBreakBefore w:val="0"/>
        <w:widowControl w:val="0"/>
        <w:numPr>
          <w:ilvl w:val="0"/>
          <w:numId w:val="0"/>
        </w:numPr>
        <w:tabs>
          <w:tab w:val="left" w:pos="426"/>
        </w:tabs>
        <w:kinsoku/>
        <w:wordWrap/>
        <w:overflowPunct/>
        <w:topLinePunct w:val="0"/>
        <w:autoSpaceDE/>
        <w:autoSpaceDN/>
        <w:bidi w:val="0"/>
        <w:adjustRightInd w:val="0"/>
        <w:snapToGrid w:val="0"/>
        <w:spacing w:line="560" w:lineRule="exact"/>
        <w:ind w:leftChars="0" w:right="0" w:rightChars="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2、投入本项目的人员须口齿表达能力清晰，善于用粤语及国语会话沟通，应变能力强，</w:t>
      </w:r>
      <w:r>
        <w:rPr>
          <w:rFonts w:hint="eastAsia" w:ascii="仿宋_GB2312" w:hAnsi="仿宋_GB2312" w:eastAsia="仿宋_GB2312" w:cs="仿宋_GB2312"/>
          <w:color w:val="000000"/>
          <w:sz w:val="32"/>
          <w:szCs w:val="32"/>
        </w:rPr>
        <w:t>身体健康、品行端正</w:t>
      </w:r>
      <w:r>
        <w:rPr>
          <w:rFonts w:hint="eastAsia" w:ascii="仿宋_GB2312" w:hAnsi="仿宋_GB2312" w:eastAsia="仿宋_GB2312" w:cs="仿宋_GB2312"/>
          <w:color w:val="000000"/>
          <w:sz w:val="32"/>
          <w:szCs w:val="32"/>
          <w:lang w:eastAsia="zh-CN"/>
        </w:rPr>
        <w:t>，具有较强的计算机操作能力</w:t>
      </w:r>
      <w:r>
        <w:rPr>
          <w:rFonts w:hint="eastAsia" w:ascii="仿宋_GB2312" w:hAnsi="Times New Roman" w:eastAsia="仿宋_GB2312" w:cs="Times New Roman"/>
          <w:kern w:val="2"/>
          <w:sz w:val="32"/>
          <w:szCs w:val="32"/>
          <w:lang w:val="en-US" w:eastAsia="zh-CN" w:bidi="ar-SA"/>
        </w:rPr>
        <w:t>,</w:t>
      </w:r>
      <w:r>
        <w:rPr>
          <w:rFonts w:hint="eastAsia" w:ascii="仿宋_GB2312" w:hAnsi="仿宋_GB2312" w:eastAsia="仿宋_GB2312" w:cs="仿宋_GB2312"/>
          <w:color w:val="000000"/>
          <w:sz w:val="32"/>
          <w:szCs w:val="32"/>
          <w:lang w:eastAsia="zh-CN"/>
        </w:rPr>
        <w:t>应熟悉退役军人相关政策。</w:t>
      </w:r>
    </w:p>
    <w:p>
      <w:pPr>
        <w:pStyle w:val="7"/>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ascii="黑体" w:hAnsi="黑体" w:eastAsia="黑体" w:cs="仿宋_GB2312"/>
          <w:sz w:val="32"/>
          <w:szCs w:val="32"/>
        </w:rPr>
      </w:pPr>
      <w:r>
        <w:rPr>
          <w:rFonts w:hint="eastAsia" w:ascii="黑体" w:hAnsi="黑体" w:eastAsia="黑体"/>
          <w:sz w:val="32"/>
          <w:szCs w:val="32"/>
          <w:lang w:eastAsia="zh-CN"/>
        </w:rPr>
        <w:t>六</w:t>
      </w:r>
      <w:r>
        <w:rPr>
          <w:rFonts w:ascii="黑体" w:hAnsi="黑体" w:eastAsia="黑体"/>
          <w:sz w:val="32"/>
          <w:szCs w:val="32"/>
        </w:rPr>
        <w:t>、采购数量：</w:t>
      </w:r>
      <w:r>
        <w:rPr>
          <w:rFonts w:ascii="黑体" w:hAnsi="黑体" w:eastAsia="黑体" w:cs="仿宋_GB2312"/>
          <w:sz w:val="32"/>
          <w:szCs w:val="32"/>
        </w:rPr>
        <w:t>1项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sz w:val="32"/>
          <w:szCs w:val="32"/>
        </w:rPr>
        <w:t>、</w:t>
      </w:r>
      <w:r>
        <w:rPr>
          <w:rFonts w:hint="eastAsia" w:ascii="黑体" w:hAnsi="黑体" w:eastAsia="黑体" w:cs="黑体"/>
          <w:sz w:val="32"/>
          <w:szCs w:val="32"/>
          <w:lang w:eastAsia="zh-CN"/>
        </w:rPr>
        <w:t>项目</w:t>
      </w:r>
      <w:r>
        <w:rPr>
          <w:rFonts w:hint="eastAsia" w:ascii="黑体" w:hAnsi="黑体" w:eastAsia="黑体" w:cs="黑体"/>
          <w:sz w:val="32"/>
          <w:szCs w:val="32"/>
        </w:rPr>
        <w:t>预算：</w:t>
      </w:r>
      <w:r>
        <w:rPr>
          <w:rFonts w:hint="eastAsia" w:ascii="黑体" w:hAnsi="黑体" w:eastAsia="黑体" w:cs="Times New Roman"/>
          <w:kern w:val="0"/>
          <w:sz w:val="32"/>
          <w:szCs w:val="32"/>
          <w:lang w:val="en-US" w:eastAsia="zh-CN" w:bidi="ar-SA"/>
        </w:rPr>
        <w:t>160000.00元</w:t>
      </w:r>
    </w:p>
    <w:p>
      <w:pPr>
        <w:keepNext w:val="0"/>
        <w:keepLines w:val="0"/>
        <w:pageBreakBefore w:val="0"/>
        <w:widowControl w:val="0"/>
        <w:kinsoku/>
        <w:wordWrap/>
        <w:overflowPunct/>
        <w:topLinePunct w:val="0"/>
        <w:autoSpaceDE/>
        <w:autoSpaceDN/>
        <w:bidi w:val="0"/>
        <w:spacing w:line="560" w:lineRule="exact"/>
        <w:ind w:right="0" w:rightChars="0"/>
        <w:textAlignment w:val="auto"/>
      </w:pPr>
      <w:bookmarkStart w:id="0" w:name="_GoBack"/>
      <w:bookmarkEnd w:id="0"/>
    </w:p>
    <w:sectPr>
      <w:pgSz w:w="11906" w:h="16838"/>
      <w:pgMar w:top="1701" w:right="1701" w:bottom="1701"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43A8B5"/>
    <w:multiLevelType w:val="singleLevel"/>
    <w:tmpl w:val="7443A8B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D7FE3"/>
    <w:rsid w:val="07F25A82"/>
    <w:rsid w:val="0D6A5336"/>
    <w:rsid w:val="125D5C49"/>
    <w:rsid w:val="13B11996"/>
    <w:rsid w:val="14BE2435"/>
    <w:rsid w:val="161C2B51"/>
    <w:rsid w:val="163A430E"/>
    <w:rsid w:val="167D7FB7"/>
    <w:rsid w:val="179F2D37"/>
    <w:rsid w:val="19F166A6"/>
    <w:rsid w:val="1EAB451B"/>
    <w:rsid w:val="24213A95"/>
    <w:rsid w:val="2477354B"/>
    <w:rsid w:val="2612485C"/>
    <w:rsid w:val="264D6C37"/>
    <w:rsid w:val="2698143C"/>
    <w:rsid w:val="26B911E5"/>
    <w:rsid w:val="28493354"/>
    <w:rsid w:val="31D84221"/>
    <w:rsid w:val="359D711B"/>
    <w:rsid w:val="35BD4315"/>
    <w:rsid w:val="374D7FE3"/>
    <w:rsid w:val="3BCB5385"/>
    <w:rsid w:val="403E68BC"/>
    <w:rsid w:val="42667910"/>
    <w:rsid w:val="43BC11EE"/>
    <w:rsid w:val="46A47FBF"/>
    <w:rsid w:val="487C7066"/>
    <w:rsid w:val="4EC7373C"/>
    <w:rsid w:val="4EE42F57"/>
    <w:rsid w:val="586867F9"/>
    <w:rsid w:val="65267EE6"/>
    <w:rsid w:val="6AC76D31"/>
    <w:rsid w:val="6B813ACE"/>
    <w:rsid w:val="73043A7C"/>
    <w:rsid w:val="73AF1603"/>
    <w:rsid w:val="74306834"/>
    <w:rsid w:val="7614443C"/>
    <w:rsid w:val="7682393A"/>
    <w:rsid w:val="7B065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qFormat/>
    <w:uiPriority w:val="0"/>
    <w:pPr>
      <w:ind w:left="1680"/>
    </w:pPr>
  </w:style>
  <w:style w:type="paragraph" w:styleId="4">
    <w:name w:val="Plain Text"/>
    <w:basedOn w:val="1"/>
    <w:qFormat/>
    <w:uiPriority w:val="0"/>
    <w:rPr>
      <w:rFonts w:ascii="宋体" w:hAnsi="Courier New"/>
      <w:szCs w:val="20"/>
    </w:rPr>
  </w:style>
  <w:style w:type="paragraph" w:customStyle="1" w:styleId="7">
    <w:name w:val="正文 首行缩进"/>
    <w:basedOn w:val="1"/>
    <w:qFormat/>
    <w:uiPriority w:val="0"/>
    <w:pPr>
      <w:adjustRightInd w:val="0"/>
      <w:ind w:firstLine="437"/>
      <w:jc w:val="left"/>
    </w:pPr>
    <w:rPr>
      <w:rFonts w:hint="eastAsia" w:ascii="宋体" w:hAnsi="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2019-08-27T08:15:00Z</dcterms:created>
  <dc:creator>Administrator</dc:creator>
  <cp:lastModifiedBy>Administrator</cp:lastModifiedBy>
  <dcterms:modified xsi:type="dcterms:W3CDTF">2023-12-05T07:53:40Z</dcterms:modified>
  <dc:title>用户需求</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173B443A9F414153918FBCAA65AF1725</vt:lpwstr>
  </property>
</Properties>
</file>