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line="360" w:lineRule="auto"/>
        <w:ind w:left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中央空调采购及安装项目用户需求</w:t>
      </w:r>
    </w:p>
    <w:p>
      <w:pPr>
        <w:numPr>
          <w:ilvl w:val="0"/>
          <w:numId w:val="1"/>
        </w:numPr>
        <w:spacing w:line="360" w:lineRule="auto"/>
        <w:rPr>
          <w:b/>
          <w:sz w:val="24"/>
          <w:szCs w:val="24"/>
        </w:rPr>
      </w:pPr>
      <w:r>
        <w:rPr>
          <w:rFonts w:hint="eastAsia"/>
          <w:b/>
          <w:sz w:val="24"/>
          <w:szCs w:val="24"/>
        </w:rPr>
        <w:t>项目说明</w:t>
      </w:r>
    </w:p>
    <w:p>
      <w:pPr>
        <w:numPr>
          <w:ilvl w:val="0"/>
          <w:numId w:val="2"/>
        </w:numPr>
        <w:spacing w:line="360" w:lineRule="auto"/>
        <w:rPr>
          <w:rFonts w:hint="eastAsia"/>
          <w:bCs/>
          <w:sz w:val="24"/>
          <w:szCs w:val="24"/>
          <w:lang w:eastAsia="zh-CN"/>
        </w:rPr>
      </w:pPr>
      <w:r>
        <w:rPr>
          <w:rFonts w:hint="eastAsia"/>
          <w:bCs/>
          <w:sz w:val="24"/>
          <w:szCs w:val="24"/>
        </w:rPr>
        <w:t>项目名称：</w:t>
      </w:r>
      <w:r>
        <w:rPr>
          <w:rFonts w:hint="eastAsia"/>
          <w:bCs/>
          <w:sz w:val="24"/>
          <w:szCs w:val="24"/>
          <w:lang w:val="en-US" w:eastAsia="zh-CN"/>
        </w:rPr>
        <w:t>中山市退役军人事务局</w:t>
      </w:r>
      <w:r>
        <w:rPr>
          <w:rFonts w:hint="eastAsia"/>
          <w:bCs/>
          <w:sz w:val="24"/>
          <w:szCs w:val="24"/>
          <w:lang w:eastAsia="zh-CN"/>
        </w:rPr>
        <w:t>中央空调采购及安装</w:t>
      </w:r>
    </w:p>
    <w:p>
      <w:pPr>
        <w:numPr>
          <w:ilvl w:val="0"/>
          <w:numId w:val="2"/>
        </w:numPr>
        <w:spacing w:line="360" w:lineRule="auto"/>
        <w:rPr>
          <w:rFonts w:hint="eastAsia"/>
          <w:bCs/>
          <w:sz w:val="24"/>
          <w:szCs w:val="24"/>
          <w:lang w:val="en-US" w:eastAsia="zh-CN"/>
        </w:rPr>
      </w:pPr>
      <w:r>
        <w:rPr>
          <w:rFonts w:hint="eastAsia"/>
          <w:bCs/>
          <w:sz w:val="24"/>
          <w:szCs w:val="24"/>
        </w:rPr>
        <w:t>项目地点：中山市</w:t>
      </w:r>
      <w:r>
        <w:rPr>
          <w:rFonts w:hint="eastAsia"/>
          <w:bCs/>
          <w:sz w:val="24"/>
          <w:szCs w:val="24"/>
          <w:lang w:val="en-US" w:eastAsia="zh-CN"/>
        </w:rPr>
        <w:t>石岐区中山二路57号</w:t>
      </w:r>
    </w:p>
    <w:p>
      <w:pPr>
        <w:numPr>
          <w:ilvl w:val="0"/>
          <w:numId w:val="0"/>
        </w:numPr>
        <w:spacing w:line="360" w:lineRule="auto"/>
        <w:rPr>
          <w:rFonts w:hint="eastAsia"/>
          <w:bCs/>
          <w:sz w:val="24"/>
          <w:szCs w:val="24"/>
        </w:rPr>
      </w:pPr>
      <w:r>
        <w:rPr>
          <w:bCs/>
          <w:sz w:val="24"/>
          <w:szCs w:val="24"/>
        </w:rPr>
        <w:t>3</w:t>
      </w:r>
      <w:r>
        <w:rPr>
          <w:rFonts w:hint="eastAsia"/>
          <w:bCs/>
          <w:sz w:val="24"/>
          <w:szCs w:val="24"/>
        </w:rPr>
        <w:t>、采购单位：</w:t>
      </w:r>
      <w:r>
        <w:rPr>
          <w:rFonts w:hint="eastAsia"/>
          <w:bCs/>
          <w:sz w:val="24"/>
          <w:szCs w:val="24"/>
          <w:lang w:val="en-US" w:eastAsia="zh-CN"/>
        </w:rPr>
        <w:t>中山市退役军人事务局</w:t>
      </w:r>
    </w:p>
    <w:p>
      <w:pPr>
        <w:widowControl/>
        <w:tabs>
          <w:tab w:val="left" w:pos="424"/>
          <w:tab w:val="left" w:pos="2940"/>
        </w:tabs>
        <w:spacing w:line="460" w:lineRule="exact"/>
        <w:jc w:val="left"/>
        <w:rPr>
          <w:rFonts w:hint="eastAsia"/>
          <w:bCs/>
          <w:sz w:val="24"/>
          <w:szCs w:val="24"/>
          <w:lang w:val="en-US" w:eastAsia="zh-CN"/>
        </w:rPr>
      </w:pPr>
      <w:r>
        <w:rPr>
          <w:rFonts w:hint="eastAsia"/>
          <w:bCs/>
          <w:sz w:val="24"/>
          <w:szCs w:val="24"/>
          <w:lang w:val="en-US" w:eastAsia="zh-CN"/>
        </w:rPr>
        <w:t>4、采购方式：询价</w:t>
      </w:r>
    </w:p>
    <w:p>
      <w:pPr>
        <w:pStyle w:val="8"/>
        <w:numPr>
          <w:ilvl w:val="0"/>
          <w:numId w:val="0"/>
        </w:numPr>
        <w:spacing w:line="360" w:lineRule="auto"/>
        <w:ind w:left="210" w:leftChars="0"/>
        <w:rPr>
          <w:rFonts w:hint="eastAsia" w:ascii="宋体" w:hAnsi="宋体" w:eastAsiaTheme="minorEastAsia" w:cstheme="minorBidi"/>
          <w:b/>
          <w:color w:val="FF0000"/>
          <w:kern w:val="2"/>
          <w:sz w:val="28"/>
          <w:szCs w:val="28"/>
          <w:lang w:val="en-US" w:eastAsia="zh-CN" w:bidi="ar-SA"/>
        </w:rPr>
      </w:pPr>
      <w:r>
        <w:rPr>
          <w:rFonts w:hint="eastAsia" w:ascii="宋体" w:hAnsi="宋体" w:eastAsiaTheme="minorEastAsia" w:cstheme="minorBidi"/>
          <w:b/>
          <w:color w:val="FF0000"/>
          <w:kern w:val="2"/>
          <w:sz w:val="28"/>
          <w:szCs w:val="28"/>
          <w:lang w:val="en-US" w:eastAsia="zh-CN" w:bidi="ar-SA"/>
        </w:rPr>
        <w:t>★供应商需根据第二条“项目内容清单”对空调设备、材料和安装调试两项分别报价</w:t>
      </w:r>
    </w:p>
    <w:p>
      <w:pPr>
        <w:pStyle w:val="2"/>
        <w:keepNext w:val="0"/>
        <w:keepLines w:val="0"/>
        <w:widowControl/>
        <w:suppressLineNumbers w:val="0"/>
        <w:spacing w:before="200" w:beforeAutospacing="0" w:after="0" w:afterAutospacing="0" w:line="300" w:lineRule="atLeast"/>
        <w:ind w:left="0" w:right="0"/>
        <w:rPr>
          <w:rFonts w:hint="eastAsia"/>
          <w:b w:val="0"/>
          <w:bCs/>
          <w:color w:val="auto"/>
          <w:sz w:val="24"/>
          <w:szCs w:val="24"/>
          <w:highlight w:val="none"/>
          <w:lang w:val="en-US" w:eastAsia="zh-CN"/>
        </w:rPr>
      </w:pPr>
      <w:r>
        <w:rPr>
          <w:rFonts w:hint="eastAsia"/>
          <w:b w:val="0"/>
          <w:bCs/>
          <w:color w:val="auto"/>
          <w:sz w:val="24"/>
          <w:szCs w:val="24"/>
          <w:highlight w:val="none"/>
          <w:lang w:val="en-US" w:eastAsia="zh-CN"/>
        </w:rPr>
        <w:t>5、★供应商资格：</w:t>
      </w:r>
      <w:r>
        <w:rPr>
          <w:rFonts w:hint="eastAsia" w:asciiTheme="minorHAnsi" w:hAnsiTheme="minorHAnsi" w:eastAsiaTheme="minorEastAsia" w:cstheme="minorBidi"/>
          <w:b w:val="0"/>
          <w:bCs/>
          <w:color w:val="auto"/>
          <w:kern w:val="2"/>
          <w:sz w:val="24"/>
          <w:szCs w:val="24"/>
          <w:highlight w:val="none"/>
          <w:lang w:val="en-US" w:eastAsia="zh-CN" w:bidi="ar-SA"/>
        </w:rPr>
        <w:t>投标供应商</w:t>
      </w:r>
      <w:bookmarkStart w:id="0" w:name="_GoBack"/>
      <w:bookmarkEnd w:id="0"/>
      <w:r>
        <w:rPr>
          <w:rFonts w:hint="eastAsia" w:asciiTheme="minorHAnsi" w:hAnsiTheme="minorHAnsi" w:eastAsiaTheme="minorEastAsia" w:cstheme="minorBidi"/>
          <w:b w:val="0"/>
          <w:bCs/>
          <w:color w:val="auto"/>
          <w:kern w:val="2"/>
          <w:sz w:val="24"/>
          <w:szCs w:val="24"/>
          <w:highlight w:val="none"/>
          <w:lang w:val="en-US" w:eastAsia="zh-CN" w:bidi="ar-SA"/>
        </w:rPr>
        <w:t>需入选广东省或中山市政府定点空调维修和保养服务资格中标供应商，投标时需提供相关证明文件，证明文件随报价文件一起提交。</w:t>
      </w:r>
    </w:p>
    <w:p>
      <w:pPr>
        <w:widowControl/>
        <w:tabs>
          <w:tab w:val="left" w:pos="424"/>
          <w:tab w:val="left" w:pos="2940"/>
        </w:tabs>
        <w:spacing w:line="460" w:lineRule="exact"/>
        <w:jc w:val="left"/>
        <w:rPr>
          <w:rFonts w:hint="eastAsia"/>
          <w:b w:val="0"/>
          <w:bCs/>
          <w:color w:val="auto"/>
          <w:sz w:val="24"/>
          <w:szCs w:val="24"/>
          <w:highlight w:val="none"/>
          <w:lang w:val="en-US" w:eastAsia="zh-CN"/>
        </w:rPr>
      </w:pPr>
      <w:r>
        <w:rPr>
          <w:rFonts w:hint="eastAsia"/>
          <w:b w:val="0"/>
          <w:bCs/>
          <w:color w:val="auto"/>
          <w:sz w:val="24"/>
          <w:szCs w:val="24"/>
          <w:highlight w:val="none"/>
          <w:lang w:val="en-US" w:eastAsia="zh-CN"/>
        </w:rPr>
        <w:t>6、★本项目投标最高上限价为：￥10.49万元（包含空调设备、材料和安装调试）</w:t>
      </w:r>
    </w:p>
    <w:p>
      <w:pPr>
        <w:spacing w:line="360" w:lineRule="auto"/>
        <w:rPr>
          <w:rFonts w:hint="eastAsia"/>
          <w:b/>
          <w:sz w:val="24"/>
          <w:szCs w:val="24"/>
        </w:rPr>
      </w:pPr>
      <w:r>
        <w:rPr>
          <w:rFonts w:hint="eastAsia"/>
          <w:b/>
          <w:sz w:val="24"/>
          <w:szCs w:val="24"/>
          <w:lang w:eastAsia="zh-CN"/>
        </w:rPr>
        <w:t>二</w:t>
      </w:r>
      <w:r>
        <w:rPr>
          <w:rFonts w:hint="eastAsia"/>
          <w:b/>
          <w:sz w:val="24"/>
          <w:szCs w:val="24"/>
        </w:rPr>
        <w:t>、</w:t>
      </w:r>
      <w:r>
        <w:rPr>
          <w:rFonts w:hint="eastAsia"/>
          <w:b/>
          <w:sz w:val="24"/>
          <w:szCs w:val="24"/>
          <w:lang w:eastAsia="zh-CN"/>
        </w:rPr>
        <w:t>项目内容清单</w:t>
      </w:r>
    </w:p>
    <w:p>
      <w:pPr>
        <w:pStyle w:val="8"/>
        <w:numPr>
          <w:ilvl w:val="0"/>
          <w:numId w:val="0"/>
        </w:numPr>
        <w:spacing w:line="360" w:lineRule="auto"/>
        <w:ind w:left="210" w:leftChars="0"/>
        <w:rPr>
          <w:rFonts w:hint="eastAsia"/>
          <w:b/>
          <w:bCs w:val="0"/>
          <w:sz w:val="28"/>
          <w:szCs w:val="28"/>
          <w:lang w:eastAsia="zh-CN"/>
        </w:rPr>
      </w:pPr>
      <w:r>
        <w:rPr>
          <w:rFonts w:hint="eastAsia"/>
          <w:b/>
          <w:bCs w:val="0"/>
          <w:sz w:val="28"/>
          <w:szCs w:val="28"/>
          <w:lang w:eastAsia="zh-CN"/>
        </w:rPr>
        <w:t>（一）空调设备（格力中央空调）</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45"/>
        <w:gridCol w:w="2490"/>
        <w:gridCol w:w="915"/>
        <w:gridCol w:w="960"/>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keepNext w:val="0"/>
              <w:keepLines w:val="0"/>
              <w:widowControl/>
              <w:suppressLineNumbers w:val="0"/>
              <w:jc w:val="center"/>
              <w:textAlignment w:val="center"/>
              <w:rPr>
                <w:rFonts w:hint="eastAsia" w:ascii="黑体" w:hAnsi="黑体" w:eastAsia="黑体" w:cs="黑体"/>
                <w:b w:val="0"/>
                <w:bCs/>
                <w:sz w:val="28"/>
                <w:szCs w:val="28"/>
                <w:vertAlign w:val="baseline"/>
                <w:lang w:eastAsia="zh-CN"/>
              </w:rPr>
            </w:pPr>
            <w:r>
              <w:rPr>
                <w:rFonts w:hint="eastAsia" w:ascii="黑体" w:hAnsi="黑体" w:eastAsia="黑体" w:cs="黑体"/>
                <w:b w:val="0"/>
                <w:bCs/>
                <w:i w:val="0"/>
                <w:color w:val="000000"/>
                <w:kern w:val="0"/>
                <w:sz w:val="28"/>
                <w:szCs w:val="28"/>
                <w:u w:val="none"/>
                <w:lang w:val="en-US" w:eastAsia="zh-CN" w:bidi="ar"/>
              </w:rPr>
              <w:t>类型\区域</w:t>
            </w:r>
          </w:p>
        </w:tc>
        <w:tc>
          <w:tcPr>
            <w:tcW w:w="945" w:type="dxa"/>
            <w:vAlign w:val="center"/>
          </w:tcPr>
          <w:p>
            <w:pPr>
              <w:keepNext w:val="0"/>
              <w:keepLines w:val="0"/>
              <w:widowControl/>
              <w:suppressLineNumbers w:val="0"/>
              <w:jc w:val="center"/>
              <w:textAlignment w:val="center"/>
              <w:rPr>
                <w:rFonts w:hint="eastAsia" w:ascii="黑体" w:hAnsi="黑体" w:eastAsia="黑体" w:cs="黑体"/>
                <w:b w:val="0"/>
                <w:bCs/>
                <w:sz w:val="28"/>
                <w:szCs w:val="28"/>
                <w:vertAlign w:val="baseline"/>
                <w:lang w:eastAsia="zh-CN"/>
              </w:rPr>
            </w:pPr>
            <w:r>
              <w:rPr>
                <w:rFonts w:hint="eastAsia" w:ascii="黑体" w:hAnsi="黑体" w:eastAsia="黑体" w:cs="黑体"/>
                <w:b w:val="0"/>
                <w:bCs/>
                <w:i w:val="0"/>
                <w:color w:val="000000"/>
                <w:kern w:val="0"/>
                <w:sz w:val="28"/>
                <w:szCs w:val="28"/>
                <w:u w:val="none"/>
                <w:lang w:val="en-US" w:eastAsia="zh-CN" w:bidi="ar"/>
              </w:rPr>
              <w:t>匹数</w:t>
            </w:r>
          </w:p>
        </w:tc>
        <w:tc>
          <w:tcPr>
            <w:tcW w:w="2490" w:type="dxa"/>
            <w:vAlign w:val="center"/>
          </w:tcPr>
          <w:p>
            <w:pPr>
              <w:keepNext w:val="0"/>
              <w:keepLines w:val="0"/>
              <w:widowControl/>
              <w:suppressLineNumbers w:val="0"/>
              <w:jc w:val="center"/>
              <w:textAlignment w:val="center"/>
              <w:rPr>
                <w:rFonts w:hint="eastAsia" w:ascii="黑体" w:hAnsi="黑体" w:eastAsia="黑体" w:cs="黑体"/>
                <w:b w:val="0"/>
                <w:bCs/>
                <w:sz w:val="28"/>
                <w:szCs w:val="28"/>
                <w:vertAlign w:val="baseline"/>
                <w:lang w:eastAsia="zh-CN"/>
              </w:rPr>
            </w:pPr>
            <w:r>
              <w:rPr>
                <w:rFonts w:hint="eastAsia" w:ascii="黑体" w:hAnsi="黑体" w:eastAsia="黑体" w:cs="黑体"/>
                <w:b w:val="0"/>
                <w:bCs/>
                <w:i w:val="0"/>
                <w:color w:val="000000"/>
                <w:kern w:val="0"/>
                <w:sz w:val="28"/>
                <w:szCs w:val="28"/>
                <w:u w:val="none"/>
                <w:lang w:val="en-US" w:eastAsia="zh-CN" w:bidi="ar"/>
              </w:rPr>
              <w:t>型号/规格</w:t>
            </w:r>
          </w:p>
        </w:tc>
        <w:tc>
          <w:tcPr>
            <w:tcW w:w="915" w:type="dxa"/>
            <w:vAlign w:val="center"/>
          </w:tcPr>
          <w:p>
            <w:pPr>
              <w:keepNext w:val="0"/>
              <w:keepLines w:val="0"/>
              <w:widowControl/>
              <w:suppressLineNumbers w:val="0"/>
              <w:jc w:val="center"/>
              <w:textAlignment w:val="center"/>
              <w:rPr>
                <w:rFonts w:hint="eastAsia" w:ascii="黑体" w:hAnsi="黑体" w:eastAsia="黑体" w:cs="黑体"/>
                <w:b w:val="0"/>
                <w:bCs/>
                <w:sz w:val="28"/>
                <w:szCs w:val="28"/>
                <w:vertAlign w:val="baseline"/>
                <w:lang w:eastAsia="zh-CN"/>
              </w:rPr>
            </w:pPr>
            <w:r>
              <w:rPr>
                <w:rFonts w:hint="eastAsia" w:ascii="黑体" w:hAnsi="黑体" w:eastAsia="黑体" w:cs="黑体"/>
                <w:b w:val="0"/>
                <w:bCs/>
                <w:i w:val="0"/>
                <w:color w:val="000000"/>
                <w:kern w:val="0"/>
                <w:sz w:val="28"/>
                <w:szCs w:val="28"/>
                <w:u w:val="none"/>
                <w:lang w:val="en-US" w:eastAsia="zh-CN" w:bidi="ar"/>
              </w:rPr>
              <w:t>单位</w:t>
            </w:r>
          </w:p>
        </w:tc>
        <w:tc>
          <w:tcPr>
            <w:tcW w:w="960" w:type="dxa"/>
            <w:vAlign w:val="center"/>
          </w:tcPr>
          <w:p>
            <w:pPr>
              <w:keepNext w:val="0"/>
              <w:keepLines w:val="0"/>
              <w:widowControl/>
              <w:suppressLineNumbers w:val="0"/>
              <w:jc w:val="center"/>
              <w:textAlignment w:val="center"/>
              <w:rPr>
                <w:rFonts w:hint="eastAsia" w:ascii="黑体" w:hAnsi="黑体" w:eastAsia="黑体" w:cs="黑体"/>
                <w:b w:val="0"/>
                <w:bCs/>
                <w:sz w:val="28"/>
                <w:szCs w:val="28"/>
                <w:vertAlign w:val="baseline"/>
                <w:lang w:eastAsia="zh-CN"/>
              </w:rPr>
            </w:pPr>
            <w:r>
              <w:rPr>
                <w:rFonts w:hint="eastAsia" w:ascii="黑体" w:hAnsi="黑体" w:eastAsia="黑体" w:cs="黑体"/>
                <w:b w:val="0"/>
                <w:bCs/>
                <w:i w:val="0"/>
                <w:color w:val="000000"/>
                <w:kern w:val="0"/>
                <w:sz w:val="28"/>
                <w:szCs w:val="28"/>
                <w:u w:val="none"/>
                <w:lang w:val="en-US" w:eastAsia="zh-CN" w:bidi="ar"/>
              </w:rPr>
              <w:t>数量</w:t>
            </w:r>
          </w:p>
        </w:tc>
        <w:tc>
          <w:tcPr>
            <w:tcW w:w="2872" w:type="dxa"/>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主机</w:t>
            </w:r>
          </w:p>
        </w:tc>
        <w:tc>
          <w:tcPr>
            <w:tcW w:w="9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1</w:t>
            </w:r>
            <w:r>
              <w:rPr>
                <w:rFonts w:hint="eastAsia" w:asciiTheme="minorEastAsia" w:hAnsiTheme="minorEastAsia" w:cstheme="minorEastAsia"/>
                <w:bCs/>
                <w:kern w:val="0"/>
                <w:sz w:val="24"/>
                <w:szCs w:val="24"/>
                <w:lang w:val="en-US" w:eastAsia="zh-CN" w:bidi="ar-SA"/>
              </w:rPr>
              <w:t>6匹</w:t>
            </w:r>
          </w:p>
        </w:tc>
        <w:tc>
          <w:tcPr>
            <w:tcW w:w="24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GMV-400WM/B1</w:t>
            </w:r>
          </w:p>
        </w:tc>
        <w:tc>
          <w:tcPr>
            <w:tcW w:w="91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台</w:t>
            </w:r>
          </w:p>
        </w:tc>
        <w:tc>
          <w:tcPr>
            <w:tcW w:w="960"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1</w:t>
            </w:r>
          </w:p>
        </w:tc>
        <w:tc>
          <w:tcPr>
            <w:tcW w:w="2872"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内机</w:t>
            </w:r>
          </w:p>
        </w:tc>
        <w:tc>
          <w:tcPr>
            <w:tcW w:w="9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cstheme="minorEastAsia"/>
                <w:bCs/>
                <w:kern w:val="0"/>
                <w:sz w:val="24"/>
                <w:szCs w:val="24"/>
                <w:lang w:val="en-US" w:eastAsia="zh-CN" w:bidi="ar-SA"/>
              </w:rPr>
              <w:t>5匹</w:t>
            </w:r>
          </w:p>
        </w:tc>
        <w:tc>
          <w:tcPr>
            <w:tcW w:w="24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GMV-NR125T/A</w:t>
            </w:r>
          </w:p>
        </w:tc>
        <w:tc>
          <w:tcPr>
            <w:tcW w:w="91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台</w:t>
            </w:r>
          </w:p>
        </w:tc>
        <w:tc>
          <w:tcPr>
            <w:tcW w:w="960"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2</w:t>
            </w:r>
          </w:p>
        </w:tc>
        <w:tc>
          <w:tcPr>
            <w:tcW w:w="2872"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highlight w:val="none"/>
                <w:lang w:val="en-US" w:eastAsia="zh-CN" w:bidi="ar-SA"/>
              </w:rPr>
            </w:pPr>
            <w:r>
              <w:rPr>
                <w:rFonts w:hint="eastAsia" w:asciiTheme="minorEastAsia" w:hAnsiTheme="minorEastAsia" w:eastAsiaTheme="minorEastAsia" w:cstheme="minorEastAsia"/>
                <w:bCs/>
                <w:kern w:val="0"/>
                <w:sz w:val="24"/>
                <w:szCs w:val="24"/>
                <w:highlight w:val="none"/>
                <w:lang w:val="en-US" w:eastAsia="zh-CN" w:bidi="ar-SA"/>
              </w:rPr>
              <w:t>内机</w:t>
            </w:r>
          </w:p>
        </w:tc>
        <w:tc>
          <w:tcPr>
            <w:tcW w:w="94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highlight w:val="none"/>
                <w:lang w:val="en-US" w:eastAsia="zh-CN" w:bidi="ar-SA"/>
              </w:rPr>
            </w:pPr>
            <w:r>
              <w:rPr>
                <w:rFonts w:hint="eastAsia" w:asciiTheme="minorEastAsia" w:hAnsiTheme="minorEastAsia" w:eastAsiaTheme="minorEastAsia" w:cstheme="minorEastAsia"/>
                <w:bCs/>
                <w:kern w:val="0"/>
                <w:sz w:val="24"/>
                <w:szCs w:val="24"/>
                <w:highlight w:val="none"/>
                <w:lang w:val="en-US" w:eastAsia="zh-CN" w:bidi="ar-SA"/>
              </w:rPr>
              <w:t>3匹</w:t>
            </w:r>
          </w:p>
        </w:tc>
        <w:tc>
          <w:tcPr>
            <w:tcW w:w="24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highlight w:val="none"/>
                <w:lang w:val="en-US" w:eastAsia="zh-CN" w:bidi="ar-SA"/>
              </w:rPr>
            </w:pPr>
            <w:r>
              <w:rPr>
                <w:rFonts w:hint="eastAsia" w:asciiTheme="minorEastAsia" w:hAnsiTheme="minorEastAsia" w:eastAsiaTheme="minorEastAsia" w:cstheme="minorEastAsia"/>
                <w:bCs/>
                <w:kern w:val="0"/>
                <w:sz w:val="24"/>
                <w:szCs w:val="24"/>
                <w:lang w:val="en-US" w:eastAsia="zh-CN" w:bidi="ar-SA"/>
              </w:rPr>
              <w:t>GMV-NR71PL/B</w:t>
            </w:r>
          </w:p>
        </w:tc>
        <w:tc>
          <w:tcPr>
            <w:tcW w:w="91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highlight w:val="none"/>
                <w:lang w:val="en-US" w:eastAsia="zh-CN" w:bidi="ar-SA"/>
              </w:rPr>
            </w:pPr>
            <w:r>
              <w:rPr>
                <w:rFonts w:hint="eastAsia" w:asciiTheme="minorEastAsia" w:hAnsiTheme="minorEastAsia" w:eastAsiaTheme="minorEastAsia" w:cstheme="minorEastAsia"/>
                <w:bCs/>
                <w:kern w:val="0"/>
                <w:sz w:val="24"/>
                <w:szCs w:val="24"/>
                <w:highlight w:val="none"/>
                <w:lang w:val="en-US" w:eastAsia="zh-CN" w:bidi="ar-SA"/>
              </w:rPr>
              <w:t>台</w:t>
            </w:r>
          </w:p>
        </w:tc>
        <w:tc>
          <w:tcPr>
            <w:tcW w:w="960"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highlight w:val="none"/>
                <w:lang w:val="en-US" w:eastAsia="zh-CN" w:bidi="ar-SA"/>
              </w:rPr>
            </w:pPr>
            <w:r>
              <w:rPr>
                <w:rFonts w:hint="eastAsia" w:asciiTheme="minorEastAsia" w:hAnsiTheme="minorEastAsia" w:eastAsiaTheme="minorEastAsia" w:cstheme="minorEastAsia"/>
                <w:bCs/>
                <w:kern w:val="0"/>
                <w:sz w:val="24"/>
                <w:szCs w:val="24"/>
                <w:highlight w:val="none"/>
                <w:lang w:val="en-US" w:eastAsia="zh-CN" w:bidi="ar-SA"/>
              </w:rPr>
              <w:t>2</w:t>
            </w:r>
          </w:p>
        </w:tc>
        <w:tc>
          <w:tcPr>
            <w:tcW w:w="2872"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控制器</w:t>
            </w:r>
          </w:p>
        </w:tc>
        <w:tc>
          <w:tcPr>
            <w:tcW w:w="94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p>
        </w:tc>
        <w:tc>
          <w:tcPr>
            <w:tcW w:w="2490"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p>
        </w:tc>
        <w:tc>
          <w:tcPr>
            <w:tcW w:w="915"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个</w:t>
            </w:r>
          </w:p>
        </w:tc>
        <w:tc>
          <w:tcPr>
            <w:tcW w:w="960"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r>
              <w:rPr>
                <w:rFonts w:hint="eastAsia" w:asciiTheme="minorEastAsia" w:hAnsiTheme="minorEastAsia" w:eastAsiaTheme="minorEastAsia" w:cstheme="minorEastAsia"/>
                <w:bCs/>
                <w:kern w:val="0"/>
                <w:sz w:val="24"/>
                <w:szCs w:val="24"/>
                <w:lang w:val="en-US" w:eastAsia="zh-CN" w:bidi="ar-SA"/>
              </w:rPr>
              <w:t>4</w:t>
            </w:r>
          </w:p>
        </w:tc>
        <w:tc>
          <w:tcPr>
            <w:tcW w:w="2872" w:type="dxa"/>
            <w:vAlign w:val="center"/>
          </w:tcPr>
          <w:p>
            <w:pPr>
              <w:pStyle w:val="8"/>
              <w:numPr>
                <w:ilvl w:val="0"/>
                <w:numId w:val="0"/>
              </w:numPr>
              <w:spacing w:line="360" w:lineRule="auto"/>
              <w:jc w:val="center"/>
              <w:rPr>
                <w:rFonts w:hint="eastAsia" w:asciiTheme="minorEastAsia" w:hAnsiTheme="minorEastAsia" w:eastAsiaTheme="minorEastAsia" w:cstheme="minorEastAsia"/>
                <w:bCs/>
                <w:kern w:val="0"/>
                <w:sz w:val="24"/>
                <w:szCs w:val="24"/>
                <w:lang w:val="en-US" w:eastAsia="zh-CN" w:bidi="ar-SA"/>
              </w:rPr>
            </w:pPr>
          </w:p>
        </w:tc>
      </w:tr>
    </w:tbl>
    <w:p>
      <w:pPr>
        <w:pStyle w:val="8"/>
        <w:numPr>
          <w:ilvl w:val="0"/>
          <w:numId w:val="0"/>
        </w:numPr>
        <w:spacing w:line="360" w:lineRule="auto"/>
        <w:ind w:left="210" w:leftChars="0"/>
        <w:rPr>
          <w:rFonts w:hint="eastAsia" w:ascii="宋体" w:hAnsi="宋体" w:eastAsiaTheme="minorEastAsia" w:cstheme="minorBidi"/>
          <w:b/>
          <w:color w:val="FF0000"/>
          <w:kern w:val="2"/>
          <w:sz w:val="28"/>
          <w:szCs w:val="28"/>
          <w:lang w:val="en-US" w:eastAsia="zh-CN" w:bidi="ar-SA"/>
        </w:rPr>
      </w:pPr>
      <w:r>
        <w:rPr>
          <w:rFonts w:hint="eastAsia" w:ascii="宋体" w:hAnsi="宋体" w:eastAsiaTheme="minorEastAsia" w:cstheme="minorBidi"/>
          <w:b/>
          <w:color w:val="FF0000"/>
          <w:kern w:val="2"/>
          <w:sz w:val="28"/>
          <w:szCs w:val="28"/>
          <w:lang w:val="en-US" w:eastAsia="zh-CN" w:bidi="ar-SA"/>
        </w:rPr>
        <w:t>★空调设备预</w:t>
      </w:r>
      <w:r>
        <w:rPr>
          <w:rFonts w:hint="eastAsia" w:ascii="宋体" w:hAnsi="宋体" w:eastAsiaTheme="minorEastAsia" w:cstheme="minorBidi"/>
          <w:b/>
          <w:color w:val="FF0000"/>
          <w:kern w:val="2"/>
          <w:sz w:val="28"/>
          <w:szCs w:val="28"/>
          <w:highlight w:val="none"/>
          <w:lang w:val="en-US" w:eastAsia="zh-CN" w:bidi="ar-SA"/>
        </w:rPr>
        <w:t>算6.17万元</w:t>
      </w:r>
      <w:r>
        <w:rPr>
          <w:rFonts w:hint="eastAsia" w:ascii="宋体" w:hAnsi="宋体" w:eastAsiaTheme="minorEastAsia" w:cstheme="minorBidi"/>
          <w:b/>
          <w:color w:val="FF0000"/>
          <w:kern w:val="2"/>
          <w:sz w:val="28"/>
          <w:szCs w:val="28"/>
          <w:lang w:val="en-US" w:eastAsia="zh-CN" w:bidi="ar-SA"/>
        </w:rPr>
        <w:t>，报价不得超过此金额，否则报价无效</w:t>
      </w:r>
    </w:p>
    <w:p>
      <w:pPr>
        <w:pStyle w:val="8"/>
        <w:numPr>
          <w:ilvl w:val="0"/>
          <w:numId w:val="0"/>
        </w:numPr>
        <w:spacing w:line="360" w:lineRule="auto"/>
        <w:ind w:left="210" w:leftChars="0"/>
        <w:rPr>
          <w:rFonts w:hint="eastAsia"/>
          <w:b/>
          <w:bCs w:val="0"/>
          <w:sz w:val="28"/>
          <w:szCs w:val="28"/>
          <w:lang w:eastAsia="zh-CN"/>
        </w:rPr>
      </w:pPr>
      <w:r>
        <w:rPr>
          <w:rFonts w:hint="eastAsia"/>
          <w:b/>
          <w:bCs w:val="0"/>
          <w:sz w:val="28"/>
          <w:szCs w:val="28"/>
          <w:lang w:eastAsia="zh-CN"/>
        </w:rPr>
        <w:t>（二）材料、安装调试</w:t>
      </w:r>
    </w:p>
    <w:tbl>
      <w:tblPr>
        <w:tblStyle w:val="5"/>
        <w:tblW w:w="9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93"/>
        <w:gridCol w:w="2137"/>
        <w:gridCol w:w="1048"/>
        <w:gridCol w:w="1048"/>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项目</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型号</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数量</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单位</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主机安装</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吊装主机</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吊上6楼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风管机安装</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铝合金单层百叶送风口</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900*150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烤白漆、安装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铝合金单层百叶回风口（滤网门铰式）</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1100*250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烤白漆、过滤网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无磷紫铜管</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Φ28.05</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Φ19.05</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Φ15.88*1.0mm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Φ12.7*0.8mm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Φ9.5*0.8mm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保温加厚型</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Φ28.05</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Φ19.05</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Φ15.88*1.0mm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Φ12.7*0.8mm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Φ9.5*0.8mm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分歧管</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PVC冷凝水排水管</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Φ25mm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温控器及室内机信号线</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PVC1*2</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信号线保护管</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Φ20mm</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（含保温）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加注雪种</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R410A</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铜管吊码及五金杂件钢材</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L3*30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系统抽真空</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链接主机前完成</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乙炔</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试压前使用</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氮气</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试压前使用</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系统试压、冲洗</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铜管安装完后试压</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系统整体调试</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安装完成</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主机供电线</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国标10M380V</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内机供电线</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国标2.5M220V</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09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供电线线管</w:t>
            </w:r>
          </w:p>
        </w:tc>
        <w:tc>
          <w:tcPr>
            <w:tcW w:w="213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Theme="minorEastAsia" w:hAnsiTheme="minorEastAsia" w:eastAsiaTheme="minorEastAsia" w:cstheme="minorEastAsia"/>
                <w:b w:val="0"/>
                <w:bCs/>
                <w:i w:val="0"/>
                <w:color w:val="000000"/>
                <w:sz w:val="21"/>
                <w:szCs w:val="21"/>
                <w:u w:val="none"/>
              </w:rPr>
            </w:pP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0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336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bl>
    <w:p>
      <w:pPr>
        <w:pStyle w:val="8"/>
        <w:numPr>
          <w:ilvl w:val="0"/>
          <w:numId w:val="0"/>
        </w:numPr>
        <w:spacing w:line="360" w:lineRule="auto"/>
        <w:rPr>
          <w:rFonts w:hint="eastAsia" w:asciiTheme="minorEastAsia" w:hAnsiTheme="minorEastAsia" w:eastAsiaTheme="minorEastAsia" w:cstheme="minorEastAsia"/>
          <w:bCs/>
          <w:sz w:val="21"/>
          <w:szCs w:val="21"/>
          <w:lang w:eastAsia="zh-CN"/>
        </w:rPr>
      </w:pPr>
    </w:p>
    <w:p>
      <w:pPr>
        <w:pStyle w:val="8"/>
        <w:numPr>
          <w:ilvl w:val="0"/>
          <w:numId w:val="0"/>
        </w:numPr>
        <w:spacing w:line="360" w:lineRule="auto"/>
        <w:ind w:left="210" w:leftChars="0"/>
        <w:rPr>
          <w:rFonts w:hint="eastAsia" w:ascii="宋体" w:hAnsi="宋体" w:eastAsiaTheme="minorEastAsia" w:cstheme="minorBidi"/>
          <w:b/>
          <w:color w:val="FF0000"/>
          <w:kern w:val="2"/>
          <w:sz w:val="28"/>
          <w:szCs w:val="28"/>
          <w:lang w:val="en-US" w:eastAsia="zh-CN" w:bidi="ar-SA"/>
        </w:rPr>
      </w:pPr>
      <w:r>
        <w:rPr>
          <w:rFonts w:hint="eastAsia" w:ascii="宋体" w:hAnsi="宋体" w:eastAsiaTheme="minorEastAsia" w:cstheme="minorBidi"/>
          <w:b/>
          <w:color w:val="FF0000"/>
          <w:kern w:val="2"/>
          <w:sz w:val="28"/>
          <w:szCs w:val="28"/>
          <w:lang w:val="en-US" w:eastAsia="zh-CN" w:bidi="ar-SA"/>
        </w:rPr>
        <w:t>★材料、安装调试预算</w:t>
      </w:r>
      <w:r>
        <w:rPr>
          <w:rFonts w:hint="eastAsia" w:ascii="宋体" w:hAnsi="宋体" w:eastAsiaTheme="minorEastAsia" w:cstheme="minorBidi"/>
          <w:b/>
          <w:color w:val="FF0000"/>
          <w:kern w:val="2"/>
          <w:sz w:val="28"/>
          <w:szCs w:val="28"/>
          <w:highlight w:val="none"/>
          <w:lang w:val="en-US" w:eastAsia="zh-CN" w:bidi="ar-SA"/>
        </w:rPr>
        <w:t>4.32万</w:t>
      </w:r>
      <w:r>
        <w:rPr>
          <w:rFonts w:hint="eastAsia" w:ascii="宋体" w:hAnsi="宋体" w:eastAsiaTheme="minorEastAsia" w:cstheme="minorBidi"/>
          <w:b/>
          <w:color w:val="FF0000"/>
          <w:kern w:val="2"/>
          <w:sz w:val="28"/>
          <w:szCs w:val="28"/>
          <w:lang w:val="en-US" w:eastAsia="zh-CN" w:bidi="ar-SA"/>
        </w:rPr>
        <w:t>元，报价不得超过此金额，否则报价无效。</w:t>
      </w:r>
    </w:p>
    <w:p>
      <w:pPr>
        <w:pStyle w:val="8"/>
        <w:numPr>
          <w:ilvl w:val="0"/>
          <w:numId w:val="0"/>
        </w:numPr>
        <w:spacing w:line="360" w:lineRule="auto"/>
        <w:rPr>
          <w:rFonts w:hint="eastAsia"/>
          <w:bCs/>
          <w:sz w:val="24"/>
          <w:szCs w:val="24"/>
          <w:lang w:eastAsia="zh-CN"/>
        </w:rPr>
      </w:pP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Courier New">
    <w:panose1 w:val="02070309020205020404"/>
    <w:charset w:val="00"/>
    <w:family w:val="decorative"/>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6E9C"/>
    <w:multiLevelType w:val="singleLevel"/>
    <w:tmpl w:val="58806E9C"/>
    <w:lvl w:ilvl="0" w:tentative="0">
      <w:start w:val="1"/>
      <w:numFmt w:val="chineseCounting"/>
      <w:suff w:val="nothing"/>
      <w:lvlText w:val="%1、"/>
      <w:lvlJc w:val="left"/>
      <w:rPr>
        <w:rFonts w:cs="Times New Roman"/>
      </w:rPr>
    </w:lvl>
  </w:abstractNum>
  <w:abstractNum w:abstractNumId="1">
    <w:nsid w:val="5E8E9209"/>
    <w:multiLevelType w:val="singleLevel"/>
    <w:tmpl w:val="5E8E92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3D"/>
    <w:rsid w:val="00023464"/>
    <w:rsid w:val="0003421E"/>
    <w:rsid w:val="000716C9"/>
    <w:rsid w:val="001B5AD8"/>
    <w:rsid w:val="001C13F6"/>
    <w:rsid w:val="00210B21"/>
    <w:rsid w:val="00262450"/>
    <w:rsid w:val="002C688A"/>
    <w:rsid w:val="002F723D"/>
    <w:rsid w:val="003C1B1F"/>
    <w:rsid w:val="00692481"/>
    <w:rsid w:val="006C6E2D"/>
    <w:rsid w:val="007948A7"/>
    <w:rsid w:val="00907AC9"/>
    <w:rsid w:val="009A05C6"/>
    <w:rsid w:val="009B67BC"/>
    <w:rsid w:val="00CE59F0"/>
    <w:rsid w:val="00E03E68"/>
    <w:rsid w:val="00F6134D"/>
    <w:rsid w:val="00F65F34"/>
    <w:rsid w:val="00FB1D48"/>
    <w:rsid w:val="02A44DE3"/>
    <w:rsid w:val="064016AC"/>
    <w:rsid w:val="07C84A63"/>
    <w:rsid w:val="0B90107E"/>
    <w:rsid w:val="0E6653D6"/>
    <w:rsid w:val="0E9419F4"/>
    <w:rsid w:val="1B6F6282"/>
    <w:rsid w:val="20B84AAB"/>
    <w:rsid w:val="2B385ACF"/>
    <w:rsid w:val="2BB45CC1"/>
    <w:rsid w:val="36A4747F"/>
    <w:rsid w:val="38C8671F"/>
    <w:rsid w:val="39A90325"/>
    <w:rsid w:val="3E717310"/>
    <w:rsid w:val="3EBC7757"/>
    <w:rsid w:val="3F075CC4"/>
    <w:rsid w:val="411C5F16"/>
    <w:rsid w:val="47B85525"/>
    <w:rsid w:val="4E366E3D"/>
    <w:rsid w:val="500232E5"/>
    <w:rsid w:val="509B3A23"/>
    <w:rsid w:val="54CE100E"/>
    <w:rsid w:val="5D77203D"/>
    <w:rsid w:val="60375630"/>
    <w:rsid w:val="634B40DB"/>
    <w:rsid w:val="6AF25CDD"/>
    <w:rsid w:val="6B3F704A"/>
    <w:rsid w:val="6D195F0B"/>
    <w:rsid w:val="71E6566F"/>
    <w:rsid w:val="73E56753"/>
    <w:rsid w:val="74354F16"/>
    <w:rsid w:val="74893015"/>
    <w:rsid w:val="75FB0094"/>
    <w:rsid w:val="7657647E"/>
    <w:rsid w:val="79CF0CE0"/>
    <w:rsid w:val="7C0C3676"/>
    <w:rsid w:val="7D1F4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22"/>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 w:type="paragraph" w:customStyle="1" w:styleId="8">
    <w:name w:val="List Paragraph1"/>
    <w:basedOn w:val="1"/>
    <w:qFormat/>
    <w:uiPriority w:val="0"/>
    <w:pPr>
      <w:widowControl/>
      <w:ind w:firstLine="420" w:firstLineChars="200"/>
      <w:jc w:val="left"/>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553</Words>
  <Characters>3153</Characters>
  <Lines>26</Lines>
  <Paragraphs>7</Paragraphs>
  <TotalTime>0</TotalTime>
  <ScaleCrop>false</ScaleCrop>
  <LinksUpToDate>false</LinksUpToDate>
  <CharactersWithSpaces>3699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2020-03-02T03:32:00Z</dcterms:created>
  <dc:creator>MaJianwen</dc:creator>
  <cp:lastModifiedBy>Administrator</cp:lastModifiedBy>
  <dcterms:modified xsi:type="dcterms:W3CDTF">2020-07-14T02:34:03Z</dcterms:modified>
  <dc:title>计算机及办公设备维护保养项目需求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